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>XVIII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Default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>REQUERIMENTO PARA EXPEDIÇÃO DE AUTORIZAÇÃO PARA O PORTE DE ARMA DE FOGO PARA INATIVO</w:t>
      </w:r>
    </w:p>
    <w:p>
      <w:pPr>
        <w:pStyle w:val="Default"/>
        <w:jc w:val="center"/>
        <w:rPr>
          <w:rFonts w:ascii="Arial" w:hAnsi="Arial" w:cs="Arial"/>
          <w:i/>
          <w:i/>
          <w:sz w:val="22"/>
          <w:szCs w:val="20"/>
        </w:rPr>
      </w:pPr>
      <w:r>
        <w:rPr>
          <w:rFonts w:cs="Arial" w:ascii="Arial" w:hAnsi="Arial"/>
          <w:i/>
          <w:sz w:val="22"/>
          <w:szCs w:val="20"/>
        </w:rPr>
        <w:t>(Para militares estaduais que ingressam na inatividade)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3118"/>
        <w:gridCol w:w="1"/>
        <w:gridCol w:w="2836"/>
      </w:tblGrid>
      <w:tr>
        <w:trPr>
          <w:trHeight w:val="331" w:hRule="atLeas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IDENTIFICAÇÃO DO MILITAR ESTADUAL </w:t>
            </w:r>
          </w:p>
        </w:tc>
      </w:tr>
      <w:tr>
        <w:trPr/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Nome: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Posto/Grad: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RG: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CPF: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Unidade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MOTIVAÇÃO </w:t>
            </w:r>
          </w:p>
        </w:tc>
      </w:tr>
      <w:tr>
        <w:trPr>
          <w:trHeight w:val="110" w:hRule="atLeast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) Reserva Remunerada </w:t>
            </w:r>
          </w:p>
          <w:p>
            <w:pPr>
              <w:pStyle w:val="Default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) Reforma</w:t>
            </w:r>
          </w:p>
          <w:p>
            <w:pPr>
              <w:pStyle w:val="Default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) Reforma por Invalidez</w:t>
            </w:r>
          </w:p>
          <w:p>
            <w:pPr>
              <w:pStyle w:val="Default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) Outro (</w:t>
            </w:r>
            <w:r>
              <w:rPr>
                <w:b/>
                <w:i/>
                <w:sz w:val="20"/>
                <w:szCs w:val="20"/>
              </w:rPr>
              <w:t>descrever</w:t>
            </w:r>
            <w:r>
              <w:rPr>
                <w:b/>
                <w:sz w:val="20"/>
                <w:szCs w:val="20"/>
              </w:rPr>
              <w:t>):</w:t>
            </w:r>
          </w:p>
        </w:tc>
      </w:tr>
    </w:tbl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ANEXOS </w:t>
            </w:r>
          </w:p>
        </w:tc>
      </w:tr>
      <w:tr>
        <w:trPr>
          <w:trHeight w:val="1045" w:hRule="atLeast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Autorização para o Porte de Arma de Fogo – Sv. Ativo</w:t>
            </w:r>
          </w:p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cópia de documento de identidade funcional e CPF.</w:t>
            </w:r>
          </w:p>
          <w:p>
            <w:pPr>
              <w:pStyle w:val="Default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Outros: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Default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DESPACHO DO CMT OPM</w:t>
            </w:r>
          </w:p>
        </w:tc>
      </w:tr>
      <w:tr>
        <w:trPr>
          <w:trHeight w:val="2621" w:hRule="atLeast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Certifico que o militar estadual acima identificado não possui restrição para o porte ou manuseio de arma de fogo.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Considerando a passagem para inatividade do militar estadual acima identificado decorrente de sua transferência para a .............................................................................................................................................,  </w:t>
            </w:r>
            <w:r>
              <w:rPr>
                <w:b/>
                <w:sz w:val="20"/>
                <w:szCs w:val="20"/>
              </w:rPr>
              <w:t>solicito a expedição de Autorização para o Porte de Arma de Fogo de Inativo</w:t>
            </w:r>
            <w:r>
              <w:rPr>
                <w:sz w:val="20"/>
                <w:szCs w:val="20"/>
              </w:rPr>
              <w:t xml:space="preserve"> para o supracitado policial. 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</w:t>
            </w:r>
            <w:r>
              <w:rPr>
                <w:sz w:val="20"/>
                <w:szCs w:val="20"/>
              </w:rPr>
              <w:t xml:space="preserve"> </w:t>
              <w:softHyphen/>
              <w:softHyphen/>
              <w:softHyphen/>
              <w:t>____________, ____/____/_____</w:t>
            </w:r>
          </w:p>
          <w:p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  <w:p>
            <w:pPr>
              <w:pStyle w:val="Default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 e cargo</w:t>
            </w:r>
          </w:p>
          <w:p>
            <w:pPr>
              <w:pStyle w:val="Default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Cmt/Ch/Dir.</w:t>
            </w:r>
          </w:p>
        </w:tc>
      </w:tr>
    </w:tbl>
    <w:p>
      <w:pPr>
        <w:pStyle w:val="Normal"/>
        <w:ind w:right="-143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991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54613-2438-47F4-B57A-0591D783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LibreOffice/6.2.7.1$Windows_X86_64 LibreOffice_project/23edc44b61b830b7d749943e020e96f5a7df63bf</Application>
  <Pages>1</Pages>
  <Words>158</Words>
  <Characters>1095</Characters>
  <CharactersWithSpaces>1251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2019-12-20T13:41:00Z</dcterms:created>
  <dc:creator>Ricardoj</dc:creator>
  <dc:description/>
  <dc:language>pt-BR</dc:language>
  <cp:lastModifiedBy>neomar.potuk</cp:lastModifiedBy>
  <cp:lastPrinted>2019-12-13T18:26:00Z</cp:lastPrinted>
  <dcterms:modified xsi:type="dcterms:W3CDTF">2020-01-22T11:36:00Z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