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Arial" w:hAnsi="Arial" w:cs="Arial"/>
          <w:b/>
          <w:b/>
          <w:sz w:val="22"/>
        </w:rPr>
      </w:pPr>
      <w:r>
        <w:rPr>
          <w:rFonts w:cs="Arial" w:ascii="Arial" w:hAnsi="Arial"/>
          <w:b/>
          <w:szCs w:val="28"/>
        </w:rPr>
        <w:t xml:space="preserve">Anexo </w:t>
      </w:r>
      <w:r>
        <w:rPr>
          <w:rFonts w:cs="Arial" w:ascii="Arial" w:hAnsi="Arial"/>
          <w:b/>
          <w:sz w:val="22"/>
        </w:rPr>
        <w:t>VII</w:t>
      </w:r>
    </w:p>
    <w:p>
      <w:pPr>
        <w:pStyle w:val="Default"/>
        <w:jc w:val="center"/>
        <w:rPr>
          <w:rFonts w:ascii="Arial" w:hAnsi="Arial" w:cs="Arial"/>
          <w:sz w:val="18"/>
          <w:szCs w:val="22"/>
        </w:rPr>
      </w:pPr>
      <w:r>
        <w:rPr>
          <w:rFonts w:cs="Arial" w:ascii="Arial" w:hAnsi="Arial"/>
          <w:sz w:val="20"/>
          <w:szCs w:val="22"/>
        </w:rPr>
        <w:t>(Portaria do Comando-Geral nº 100/2020)</w:t>
      </w:r>
    </w:p>
    <w:p>
      <w:pPr>
        <w:pStyle w:val="Default"/>
        <w:jc w:val="center"/>
        <w:rPr>
          <w:rFonts w:ascii="Arial" w:hAnsi="Arial" w:cs="Arial"/>
          <w:sz w:val="18"/>
          <w:szCs w:val="22"/>
        </w:rPr>
      </w:pPr>
      <w:r>
        <w:rPr>
          <w:rFonts w:cs="Arial" w:ascii="Arial" w:hAnsi="Arial"/>
          <w:sz w:val="18"/>
          <w:szCs w:val="22"/>
        </w:rPr>
      </w:r>
    </w:p>
    <w:p>
      <w:pPr>
        <w:pStyle w:val="Default"/>
        <w:jc w:val="center"/>
        <w:rPr>
          <w:rFonts w:ascii="Arial" w:hAnsi="Arial" w:cs="Arial"/>
          <w:b/>
          <w:b/>
          <w:sz w:val="20"/>
          <w:szCs w:val="20"/>
        </w:rPr>
      </w:pPr>
      <w:r>
        <w:rPr>
          <w:rFonts w:cs="Arial" w:ascii="Arial" w:hAnsi="Arial"/>
          <w:b/>
          <w:sz w:val="22"/>
          <w:szCs w:val="20"/>
        </w:rPr>
        <w:t>TERMO DE RESPONSABILIDADE</w:t>
      </w:r>
    </w:p>
    <w:p>
      <w:pPr>
        <w:pStyle w:val="Default"/>
        <w:ind w:left="3119" w:hanging="0"/>
        <w:jc w:val="center"/>
        <w:rPr>
          <w:b/>
          <w:b/>
          <w:sz w:val="20"/>
          <w:szCs w:val="20"/>
        </w:rPr>
      </w:pPr>
      <w:r>
        <w:rPr>
          <w:b/>
          <w:sz w:val="20"/>
          <w:szCs w:val="20"/>
        </w:rPr>
      </w:r>
    </w:p>
    <w:tbl>
      <w:tblPr>
        <w:tblStyle w:val="Tabelacomgrade"/>
        <w:tblW w:w="9518" w:type="dxa"/>
        <w:jc w:val="center"/>
        <w:tblInd w:w="0" w:type="dxa"/>
        <w:tblCellMar>
          <w:top w:w="0" w:type="dxa"/>
          <w:left w:w="108" w:type="dxa"/>
          <w:bottom w:w="0" w:type="dxa"/>
          <w:right w:w="108" w:type="dxa"/>
        </w:tblCellMar>
        <w:tblLook w:val="04a0"/>
      </w:tblPr>
      <w:tblGrid>
        <w:gridCol w:w="2413"/>
        <w:gridCol w:w="1180"/>
        <w:gridCol w:w="2530"/>
        <w:gridCol w:w="1"/>
        <w:gridCol w:w="3394"/>
      </w:tblGrid>
      <w:tr>
        <w:trPr/>
        <w:tc>
          <w:tcPr>
            <w:tcW w:w="9518" w:type="dxa"/>
            <w:gridSpan w:val="5"/>
            <w:tcBorders/>
            <w:shd w:color="auto" w:fill="D9D9D9" w:themeFill="background1" w:themeFillShade="d9" w:val="clear"/>
            <w:vAlign w:val="center"/>
          </w:tcPr>
          <w:p>
            <w:pPr>
              <w:pStyle w:val="Default"/>
              <w:tabs>
                <w:tab w:val="clear" w:pos="708"/>
                <w:tab w:val="left" w:pos="3114" w:leader="none"/>
              </w:tabs>
              <w:spacing w:lineRule="auto" w:line="240" w:before="0" w:after="0"/>
              <w:jc w:val="center"/>
              <w:rPr>
                <w:b/>
                <w:b/>
                <w:sz w:val="20"/>
                <w:szCs w:val="20"/>
              </w:rPr>
            </w:pPr>
            <w:r>
              <w:rPr>
                <w:b/>
                <w:sz w:val="20"/>
                <w:szCs w:val="20"/>
              </w:rPr>
              <w:t>CIENTIFICAÇÃO DO PROPRIETÁRIO</w:t>
            </w:r>
          </w:p>
        </w:tc>
      </w:tr>
      <w:tr>
        <w:trPr/>
        <w:tc>
          <w:tcPr>
            <w:tcW w:w="6124" w:type="dxa"/>
            <w:gridSpan w:val="4"/>
            <w:tcBorders/>
            <w:shd w:fill="auto" w:val="clear"/>
          </w:tcPr>
          <w:p>
            <w:pPr>
              <w:pStyle w:val="Default"/>
              <w:spacing w:lineRule="auto" w:line="240" w:before="0" w:after="0"/>
              <w:rPr>
                <w:sz w:val="20"/>
                <w:szCs w:val="20"/>
              </w:rPr>
            </w:pPr>
            <w:r>
              <w:rPr>
                <w:sz w:val="20"/>
                <w:szCs w:val="20"/>
              </w:rPr>
              <w:t>Nome:</w:t>
            </w:r>
          </w:p>
        </w:tc>
        <w:tc>
          <w:tcPr>
            <w:tcW w:w="3394" w:type="dxa"/>
            <w:tcBorders/>
            <w:shd w:fill="auto" w:val="clear"/>
          </w:tcPr>
          <w:p>
            <w:pPr>
              <w:pStyle w:val="Default"/>
              <w:spacing w:lineRule="auto" w:line="240" w:before="0" w:after="0"/>
              <w:rPr>
                <w:sz w:val="20"/>
                <w:szCs w:val="20"/>
              </w:rPr>
            </w:pPr>
            <w:r>
              <w:rPr>
                <w:sz w:val="20"/>
                <w:szCs w:val="20"/>
              </w:rPr>
              <w:t>Posto/Graduação:</w:t>
            </w:r>
          </w:p>
        </w:tc>
      </w:tr>
      <w:tr>
        <w:trPr/>
        <w:tc>
          <w:tcPr>
            <w:tcW w:w="3593" w:type="dxa"/>
            <w:gridSpan w:val="2"/>
            <w:tcBorders/>
            <w:shd w:fill="auto" w:val="clear"/>
          </w:tcPr>
          <w:p>
            <w:pPr>
              <w:pStyle w:val="Default"/>
              <w:spacing w:lineRule="auto" w:line="240" w:before="0" w:after="0"/>
              <w:rPr>
                <w:sz w:val="20"/>
                <w:szCs w:val="20"/>
              </w:rPr>
            </w:pPr>
            <w:r>
              <w:rPr>
                <w:sz w:val="20"/>
                <w:szCs w:val="20"/>
              </w:rPr>
              <w:t xml:space="preserve">RG: </w:t>
            </w:r>
          </w:p>
        </w:tc>
        <w:tc>
          <w:tcPr>
            <w:tcW w:w="2531" w:type="dxa"/>
            <w:gridSpan w:val="2"/>
            <w:tcBorders/>
            <w:shd w:fill="auto" w:val="clear"/>
          </w:tcPr>
          <w:p>
            <w:pPr>
              <w:pStyle w:val="Default"/>
              <w:spacing w:lineRule="auto" w:line="240" w:before="0" w:after="0"/>
              <w:rPr>
                <w:sz w:val="20"/>
                <w:szCs w:val="20"/>
              </w:rPr>
            </w:pPr>
            <w:r>
              <w:rPr>
                <w:sz w:val="20"/>
                <w:szCs w:val="20"/>
              </w:rPr>
              <w:t>CPF:</w:t>
            </w:r>
          </w:p>
        </w:tc>
        <w:tc>
          <w:tcPr>
            <w:tcW w:w="3394" w:type="dxa"/>
            <w:tcBorders/>
            <w:shd w:fill="auto" w:val="clear"/>
          </w:tcPr>
          <w:p>
            <w:pPr>
              <w:pStyle w:val="Default"/>
              <w:spacing w:lineRule="auto" w:line="240" w:before="0" w:after="0"/>
              <w:rPr>
                <w:sz w:val="20"/>
                <w:szCs w:val="20"/>
              </w:rPr>
            </w:pPr>
            <w:r>
              <w:rPr>
                <w:sz w:val="20"/>
                <w:szCs w:val="20"/>
              </w:rPr>
              <w:t>OPM:</w:t>
            </w:r>
          </w:p>
        </w:tc>
      </w:tr>
      <w:tr>
        <w:trPr/>
        <w:tc>
          <w:tcPr>
            <w:tcW w:w="2413" w:type="dxa"/>
            <w:tcBorders/>
            <w:shd w:fill="auto" w:val="clear"/>
          </w:tcPr>
          <w:p>
            <w:pPr>
              <w:pStyle w:val="Default"/>
              <w:spacing w:lineRule="auto" w:line="240" w:before="0" w:after="0"/>
              <w:rPr>
                <w:sz w:val="20"/>
                <w:szCs w:val="20"/>
              </w:rPr>
            </w:pPr>
            <w:r>
              <w:rPr>
                <w:sz w:val="20"/>
                <w:szCs w:val="20"/>
              </w:rPr>
              <w:t xml:space="preserve">(   ) Ativa    </w:t>
            </w:r>
          </w:p>
        </w:tc>
        <w:tc>
          <w:tcPr>
            <w:tcW w:w="3710" w:type="dxa"/>
            <w:gridSpan w:val="2"/>
            <w:tcBorders/>
            <w:shd w:fill="auto" w:val="clear"/>
          </w:tcPr>
          <w:p>
            <w:pPr>
              <w:pStyle w:val="Default"/>
              <w:spacing w:lineRule="auto" w:line="240" w:before="0" w:after="0"/>
              <w:rPr>
                <w:sz w:val="20"/>
                <w:szCs w:val="20"/>
              </w:rPr>
            </w:pPr>
            <w:r>
              <w:rPr>
                <w:sz w:val="20"/>
                <w:szCs w:val="20"/>
              </w:rPr>
              <w:t xml:space="preserve">(   ) Reserva Remunerada  </w:t>
            </w:r>
          </w:p>
        </w:tc>
        <w:tc>
          <w:tcPr>
            <w:tcW w:w="3395" w:type="dxa"/>
            <w:gridSpan w:val="2"/>
            <w:tcBorders/>
            <w:shd w:fill="auto" w:val="clear"/>
          </w:tcPr>
          <w:p>
            <w:pPr>
              <w:pStyle w:val="Default"/>
              <w:spacing w:lineRule="auto" w:line="240" w:before="0" w:after="0"/>
              <w:rPr>
                <w:sz w:val="20"/>
                <w:szCs w:val="20"/>
              </w:rPr>
            </w:pPr>
            <w:r>
              <w:rPr>
                <w:sz w:val="20"/>
                <w:szCs w:val="20"/>
              </w:rPr>
              <w:t>(   ) Reformado</w:t>
            </w:r>
          </w:p>
        </w:tc>
      </w:tr>
    </w:tbl>
    <w:p>
      <w:pPr>
        <w:pStyle w:val="Normal"/>
        <w:jc w:val="both"/>
        <w:rPr>
          <w:rFonts w:ascii="Arial" w:hAnsi="Arial" w:eastAsia="Times New Roman" w:cs="Tahoma"/>
          <w:b/>
          <w:b/>
          <w:sz w:val="20"/>
          <w:szCs w:val="20"/>
        </w:rPr>
      </w:pPr>
      <w:r>
        <w:rPr>
          <w:rFonts w:eastAsia="Times New Roman" w:cs="Tahoma" w:ascii="Arial" w:hAnsi="Arial"/>
          <w:b/>
          <w:sz w:val="20"/>
          <w:szCs w:val="20"/>
          <w:u w:val="single"/>
        </w:rPr>
        <w:t>DECLARA QUE</w:t>
      </w:r>
      <w:r>
        <w:rPr>
          <w:rFonts w:eastAsia="Times New Roman" w:cs="Tahoma" w:ascii="Arial" w:hAnsi="Arial"/>
          <w:b/>
          <w:sz w:val="20"/>
          <w:szCs w:val="20"/>
        </w:rPr>
        <w:t>:</w:t>
      </w:r>
    </w:p>
    <w:p>
      <w:pPr>
        <w:pStyle w:val="Default"/>
        <w:spacing w:lineRule="auto" w:line="276"/>
        <w:jc w:val="both"/>
        <w:rPr>
          <w:color w:val="auto"/>
          <w:sz w:val="20"/>
          <w:szCs w:val="20"/>
        </w:rPr>
      </w:pPr>
      <w:r>
        <w:rPr>
          <w:color w:val="auto"/>
          <w:sz w:val="20"/>
          <w:szCs w:val="20"/>
        </w:rPr>
      </w:r>
    </w:p>
    <w:p>
      <w:pPr>
        <w:pStyle w:val="Default"/>
        <w:spacing w:lineRule="auto" w:line="276"/>
        <w:jc w:val="both"/>
        <w:rPr>
          <w:color w:val="auto"/>
          <w:sz w:val="20"/>
          <w:szCs w:val="20"/>
        </w:rPr>
      </w:pPr>
      <w:r>
        <w:rPr>
          <w:color w:val="auto"/>
          <w:sz w:val="20"/>
          <w:szCs w:val="20"/>
        </w:rPr>
        <w:t xml:space="preserve">É conhecedor da legislação federal e das normas institucionais que tratam da AQUISIÇÃO, REGISTRO e TRANSFERÊNCIA de ARMAS DE FOGO e MUNIÇÕES obtidas diretamente do COMÉRCIO ou da INDÚSTRIA, e ainda de que:                                                                                                                                                                                                                                                                                                                                                                                                                                     </w:t>
      </w:r>
    </w:p>
    <w:p>
      <w:pPr>
        <w:pStyle w:val="Default"/>
        <w:numPr>
          <w:ilvl w:val="0"/>
          <w:numId w:val="1"/>
        </w:numPr>
        <w:spacing w:lineRule="auto" w:line="276"/>
        <w:ind w:left="709" w:firstLine="142"/>
        <w:jc w:val="both"/>
        <w:rPr>
          <w:color w:val="auto"/>
          <w:sz w:val="20"/>
          <w:szCs w:val="20"/>
        </w:rPr>
      </w:pPr>
      <w:r>
        <w:rPr>
          <w:color w:val="auto"/>
          <w:sz w:val="20"/>
          <w:szCs w:val="20"/>
        </w:rPr>
        <w:t>As armas de fogo somente podem ser adquiridas ou transferidas, desde que observados os procedimentos e prazos previstos na legislação e nas normas institucionais, obedecidas às disposições referentes por seu REGISTRO por parte do adquirente.</w:t>
      </w:r>
      <w:bookmarkStart w:id="0" w:name="_GoBack"/>
      <w:bookmarkEnd w:id="0"/>
    </w:p>
    <w:p>
      <w:pPr>
        <w:pStyle w:val="Default"/>
        <w:numPr>
          <w:ilvl w:val="0"/>
          <w:numId w:val="1"/>
        </w:numPr>
        <w:spacing w:lineRule="auto" w:line="276"/>
        <w:ind w:left="709" w:firstLine="142"/>
        <w:jc w:val="both"/>
        <w:rPr>
          <w:color w:val="auto"/>
          <w:sz w:val="20"/>
          <w:szCs w:val="20"/>
        </w:rPr>
      </w:pPr>
      <w:r>
        <w:rPr>
          <w:color w:val="auto"/>
          <w:sz w:val="20"/>
          <w:szCs w:val="20"/>
        </w:rPr>
        <w:t>A transferência de munição, a qualquer título, é proibida, exceto quando vinculada à transferência da arma, e desde que de mesmo calibre e compatível com uso dela.</w:t>
      </w:r>
    </w:p>
    <w:p>
      <w:pPr>
        <w:pStyle w:val="Default"/>
        <w:numPr>
          <w:ilvl w:val="0"/>
          <w:numId w:val="1"/>
        </w:numPr>
        <w:spacing w:lineRule="auto" w:line="276"/>
        <w:ind w:left="709" w:firstLine="142"/>
        <w:jc w:val="both"/>
        <w:rPr>
          <w:color w:val="auto"/>
          <w:sz w:val="20"/>
          <w:szCs w:val="20"/>
        </w:rPr>
      </w:pPr>
      <w:r>
        <w:rPr>
          <w:color w:val="auto"/>
          <w:sz w:val="20"/>
          <w:szCs w:val="20"/>
        </w:rPr>
        <w:t xml:space="preserve"> </w:t>
      </w:r>
      <w:r>
        <w:rPr>
          <w:color w:val="auto"/>
          <w:sz w:val="20"/>
          <w:szCs w:val="20"/>
        </w:rPr>
        <w:t>A transferência de munição, a qualquer título, é proibida, exceto quando vinculada à transferência da arma, e desde que de mesmo calibre e compatível com uso dela.</w:t>
      </w:r>
    </w:p>
    <w:p>
      <w:pPr>
        <w:pStyle w:val="Default"/>
        <w:numPr>
          <w:ilvl w:val="0"/>
          <w:numId w:val="1"/>
        </w:numPr>
        <w:spacing w:lineRule="auto" w:line="276"/>
        <w:ind w:left="709" w:firstLine="142"/>
        <w:jc w:val="both"/>
        <w:rPr>
          <w:color w:val="auto"/>
          <w:sz w:val="20"/>
          <w:szCs w:val="20"/>
        </w:rPr>
      </w:pPr>
      <w:r>
        <w:rPr>
          <w:color w:val="auto"/>
          <w:sz w:val="20"/>
          <w:szCs w:val="20"/>
        </w:rPr>
        <w:t>Ocorrendo o FURTO, ROUBO, PERDA ou EXTRAVIO da arma, deverei realizar o boletim de ocorrência e comunicar imediatamente ao respectivo comandante da unidade ou a mais próxima de minha residência em caso de REFORMADO ou RESERVA REMUNERADA, anexando cópia do registro do fato.</w:t>
      </w:r>
    </w:p>
    <w:p>
      <w:pPr>
        <w:pStyle w:val="Default"/>
        <w:numPr>
          <w:ilvl w:val="0"/>
          <w:numId w:val="1"/>
        </w:numPr>
        <w:spacing w:lineRule="auto" w:line="276"/>
        <w:ind w:left="709" w:firstLine="142"/>
        <w:jc w:val="both"/>
        <w:rPr>
          <w:color w:val="auto"/>
          <w:sz w:val="20"/>
          <w:szCs w:val="20"/>
        </w:rPr>
      </w:pPr>
      <w:r>
        <w:rPr>
          <w:color w:val="auto"/>
          <w:sz w:val="20"/>
          <w:szCs w:val="20"/>
        </w:rPr>
        <w:t>A qualquer momento, a PMPR, por intermédio da seção competente, poderá determinar-lhe a apresentação da arma, para fins de verificação do cumprimento de disposições legais e regulamentares.</w:t>
      </w:r>
    </w:p>
    <w:p>
      <w:pPr>
        <w:pStyle w:val="Default"/>
        <w:numPr>
          <w:ilvl w:val="0"/>
          <w:numId w:val="1"/>
        </w:numPr>
        <w:spacing w:lineRule="auto" w:line="276"/>
        <w:ind w:left="709" w:firstLine="142"/>
        <w:jc w:val="both"/>
        <w:rPr>
          <w:color w:val="auto"/>
          <w:sz w:val="20"/>
          <w:szCs w:val="20"/>
        </w:rPr>
      </w:pPr>
      <w:r>
        <w:rPr>
          <w:color w:val="auto"/>
          <w:sz w:val="20"/>
          <w:szCs w:val="20"/>
        </w:rPr>
        <w:t>Declaro que possuo lugar seguro para armazenamento das armas de fogo das quais seja proprietário de modo a adotar as medidas necessárias para impedir que menor de dezoito anos de idade ou pessoa com deficiência mental se apodere de arma de fogo que esteja sob sua posse ou que seja de sua propriedade nos termos do disposto no art. 13 da Lei nº 10.826, de 2003.</w:t>
      </w:r>
    </w:p>
    <w:p>
      <w:pPr>
        <w:pStyle w:val="Default"/>
        <w:numPr>
          <w:ilvl w:val="0"/>
          <w:numId w:val="1"/>
        </w:numPr>
        <w:spacing w:lineRule="auto" w:line="276"/>
        <w:ind w:left="709" w:firstLine="142"/>
        <w:jc w:val="both"/>
        <w:rPr>
          <w:color w:val="auto"/>
          <w:sz w:val="20"/>
          <w:szCs w:val="20"/>
        </w:rPr>
      </w:pPr>
      <w:r>
        <w:rPr>
          <w:color w:val="auto"/>
          <w:sz w:val="20"/>
          <w:szCs w:val="20"/>
        </w:rPr>
        <w:t>Declaro estar ciente de que na superveniência de fatores impeditivos quanto à posse da arma de fogo a ser adquirida, deverei adotar as providências previstas em Lei e na Portaria do Comando-Geral nº 100, de 28 de janeiro de 2020, em relação à transferência de propriedade da arma de fogo.</w:t>
      </w:r>
    </w:p>
    <w:p>
      <w:pPr>
        <w:pStyle w:val="Default"/>
        <w:numPr>
          <w:ilvl w:val="0"/>
          <w:numId w:val="1"/>
        </w:numPr>
        <w:spacing w:lineRule="auto" w:line="276"/>
        <w:ind w:left="709" w:firstLine="142"/>
        <w:jc w:val="both"/>
        <w:rPr>
          <w:sz w:val="20"/>
          <w:szCs w:val="20"/>
        </w:rPr>
      </w:pPr>
      <w:r>
        <w:rPr>
          <w:color w:val="auto"/>
          <w:sz w:val="20"/>
          <w:szCs w:val="20"/>
        </w:rPr>
        <w:t>A inobservância da legislação federal e das normas institucionais regentes de armas de fogo e de munições poderá implicar na responsabilização criminal e disciplinar</w:t>
      </w:r>
    </w:p>
    <w:p>
      <w:pPr>
        <w:pStyle w:val="Normal"/>
        <w:rPr>
          <w:color w:val="000000"/>
          <w:sz w:val="20"/>
          <w:szCs w:val="20"/>
        </w:rPr>
      </w:pPr>
      <w:r>
        <w:rPr>
          <w:color w:val="000000"/>
          <w:sz w:val="20"/>
          <w:szCs w:val="20"/>
        </w:rPr>
      </w:r>
    </w:p>
    <w:p>
      <w:pPr>
        <w:pStyle w:val="Default"/>
        <w:jc w:val="center"/>
        <w:rPr>
          <w:b/>
          <w:b/>
          <w:sz w:val="22"/>
          <w:szCs w:val="22"/>
        </w:rPr>
      </w:pPr>
      <w:r>
        <w:rPr>
          <w:b/>
          <w:sz w:val="22"/>
          <w:szCs w:val="22"/>
        </w:rPr>
      </w:r>
    </w:p>
    <w:p>
      <w:pPr>
        <w:pStyle w:val="Default"/>
        <w:jc w:val="center"/>
        <w:rPr>
          <w:sz w:val="22"/>
          <w:szCs w:val="22"/>
        </w:rPr>
      </w:pPr>
      <w:r>
        <w:rPr>
          <w:b/>
          <w:sz w:val="22"/>
          <w:szCs w:val="22"/>
        </w:rPr>
        <w:t>Local e data</w:t>
      </w:r>
      <w:r>
        <w:rPr>
          <w:sz w:val="22"/>
          <w:szCs w:val="22"/>
        </w:rPr>
        <w:t xml:space="preserve"> </w:t>
        <w:softHyphen/>
        <w:softHyphen/>
        <w:softHyphen/>
        <w:t>________________________________, ____/____/_____.</w:t>
      </w:r>
    </w:p>
    <w:p>
      <w:pPr>
        <w:pStyle w:val="Default"/>
        <w:jc w:val="both"/>
        <w:rPr>
          <w:sz w:val="22"/>
          <w:szCs w:val="22"/>
        </w:rPr>
      </w:pPr>
      <w:r>
        <w:rPr>
          <w:sz w:val="22"/>
          <w:szCs w:val="22"/>
        </w:rPr>
      </w:r>
    </w:p>
    <w:p>
      <w:pPr>
        <w:pStyle w:val="Default"/>
        <w:jc w:val="both"/>
        <w:rPr>
          <w:sz w:val="22"/>
          <w:szCs w:val="22"/>
        </w:rPr>
      </w:pPr>
      <w:r>
        <w:rPr>
          <w:sz w:val="22"/>
          <w:szCs w:val="22"/>
        </w:rPr>
      </w:r>
    </w:p>
    <w:p>
      <w:pPr>
        <w:pStyle w:val="Default"/>
        <w:jc w:val="center"/>
        <w:rPr>
          <w:b/>
          <w:b/>
          <w:sz w:val="22"/>
          <w:szCs w:val="22"/>
        </w:rPr>
      </w:pPr>
      <w:r>
        <w:rPr>
          <w:b/>
          <w:sz w:val="22"/>
          <w:szCs w:val="22"/>
        </w:rPr>
        <w:t>_____________________________________</w:t>
      </w:r>
    </w:p>
    <w:p>
      <w:pPr>
        <w:pStyle w:val="Default"/>
        <w:jc w:val="center"/>
        <w:rPr>
          <w:sz w:val="20"/>
          <w:szCs w:val="20"/>
        </w:rPr>
      </w:pPr>
      <w:r>
        <w:rPr>
          <w:b/>
          <w:sz w:val="22"/>
          <w:szCs w:val="22"/>
        </w:rPr>
        <w:t>Nome completo - Militar estadual adquirente</w:t>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r>
    </w:p>
    <w:p>
      <w:pPr>
        <w:pStyle w:val="Normal"/>
        <w:rPr>
          <w:color w:val="000000"/>
          <w:sz w:val="20"/>
          <w:szCs w:val="20"/>
        </w:rPr>
      </w:pPr>
      <w:r>
        <w:rPr>
          <w:color w:val="000000"/>
          <w:sz w:val="20"/>
          <w:szCs w:val="20"/>
        </w:rPr>
        <w:t>________________________________________________________________________________________________</w:t>
      </w:r>
    </w:p>
    <w:p>
      <w:pPr>
        <w:pStyle w:val="Normal"/>
        <w:rPr>
          <w:i/>
          <w:i/>
          <w:color w:val="000000"/>
          <w:sz w:val="20"/>
          <w:szCs w:val="20"/>
        </w:rPr>
      </w:pPr>
      <w:r>
        <w:rPr>
          <w:i/>
          <w:color w:val="000000"/>
          <w:sz w:val="20"/>
          <w:szCs w:val="20"/>
        </w:rPr>
        <w:t xml:space="preserve">Ref: </w:t>
      </w:r>
    </w:p>
    <w:p>
      <w:pPr>
        <w:pStyle w:val="Normal"/>
        <w:rPr>
          <w:b/>
          <w:b/>
          <w:i/>
          <w:i/>
          <w:color w:val="000000"/>
          <w:sz w:val="20"/>
          <w:szCs w:val="20"/>
        </w:rPr>
      </w:pPr>
      <w:r>
        <w:rPr>
          <w:b/>
          <w:i/>
          <w:color w:val="000000"/>
          <w:sz w:val="20"/>
          <w:szCs w:val="20"/>
        </w:rPr>
        <w:t>ESTATUTO DO DESARMAMENTO Lei nº 10.826/03</w:t>
      </w:r>
    </w:p>
    <w:p>
      <w:pPr>
        <w:pStyle w:val="Normal"/>
        <w:rPr>
          <w:b/>
          <w:b/>
          <w:i/>
          <w:i/>
          <w:color w:val="000000"/>
          <w:sz w:val="20"/>
          <w:szCs w:val="20"/>
        </w:rPr>
      </w:pPr>
      <w:r>
        <w:rPr>
          <w:b/>
          <w:i/>
          <w:color w:val="000000"/>
          <w:sz w:val="20"/>
          <w:szCs w:val="20"/>
        </w:rPr>
        <w:t xml:space="preserve">DECRETOS Nº 9.845 E 9.847, de 25 de junho de 2019 </w:t>
      </w:r>
    </w:p>
    <w:p>
      <w:pPr>
        <w:pStyle w:val="Normal"/>
        <w:rPr>
          <w:b/>
          <w:b/>
          <w:i/>
          <w:i/>
          <w:color w:val="000000"/>
          <w:sz w:val="20"/>
          <w:szCs w:val="20"/>
        </w:rPr>
      </w:pPr>
      <w:r>
        <w:rPr>
          <w:b/>
          <w:i/>
          <w:sz w:val="20"/>
          <w:szCs w:val="20"/>
        </w:rPr>
        <w:t>PORTARIA Nº 136 - COLOG, de 08 de novembro de 2019</w:t>
      </w:r>
    </w:p>
    <w:p>
      <w:pPr>
        <w:pStyle w:val="Normal"/>
        <w:rPr>
          <w:i/>
          <w:i/>
          <w:color w:val="000000"/>
          <w:sz w:val="20"/>
          <w:szCs w:val="20"/>
        </w:rPr>
      </w:pPr>
      <w:r>
        <w:rPr>
          <w:i/>
          <w:color w:val="000000"/>
          <w:sz w:val="20"/>
          <w:szCs w:val="20"/>
        </w:rPr>
      </w:r>
    </w:p>
    <w:p>
      <w:pPr>
        <w:pStyle w:val="Default"/>
        <w:spacing w:lineRule="auto" w:line="276"/>
        <w:jc w:val="both"/>
        <w:rPr>
          <w:i/>
          <w:i/>
          <w:sz w:val="20"/>
          <w:szCs w:val="20"/>
        </w:rPr>
      </w:pPr>
      <w:r>
        <w:rPr>
          <w:b/>
          <w:bCs/>
          <w:i/>
          <w:color w:val="auto"/>
          <w:sz w:val="20"/>
          <w:szCs w:val="20"/>
        </w:rPr>
        <w:t xml:space="preserve">Obs. </w:t>
      </w:r>
      <w:r>
        <w:rPr>
          <w:bCs/>
          <w:i/>
          <w:color w:val="auto"/>
          <w:sz w:val="20"/>
          <w:szCs w:val="20"/>
        </w:rPr>
        <w:t>O termo deverá ser lavrado em duas vias, sendo a 1ª para anexada ao processo de aquisição de arma a 2ª via destinada ao adquirente.</w:t>
      </w:r>
    </w:p>
    <w:p>
      <w:pPr>
        <w:pStyle w:val="Normal"/>
        <w:ind w:right="-143" w:hanging="0"/>
        <w:jc w:val="center"/>
        <w:rPr/>
      </w:pPr>
      <w:r>
        <w:rPr/>
      </w:r>
    </w:p>
    <w:sectPr>
      <w:headerReference w:type="default" r:id="rId2"/>
      <w:type w:val="nextPage"/>
      <w:pgSz w:w="11906" w:h="16838"/>
      <w:pgMar w:left="1276" w:right="991" w:header="708" w:top="765"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jc w:val="center"/>
      <w:rPr>
        <w:rFonts w:ascii="Arial" w:hAnsi="Arial" w:cs="Arial"/>
        <w:b/>
        <w:b/>
      </w:rPr>
    </w:pPr>
    <w:r>
      <w:drawing>
        <wp:anchor behindDoc="1" distT="0" distB="0" distL="0" distR="0" simplePos="0" locked="0" layoutInCell="1" allowOverlap="1" relativeHeight="2">
          <wp:simplePos x="0" y="0"/>
          <wp:positionH relativeFrom="column">
            <wp:posOffset>-111125</wp:posOffset>
          </wp:positionH>
          <wp:positionV relativeFrom="paragraph">
            <wp:posOffset>-179070</wp:posOffset>
          </wp:positionV>
          <wp:extent cx="653415" cy="819150"/>
          <wp:effectExtent l="0" t="0" r="0" b="0"/>
          <wp:wrapNone/>
          <wp:docPr id="1" name="Figura1" descr="Resultado de imagem para brasao para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Resultado de imagem para brasao parana&quot;"/>
                  <pic:cNvPicPr>
                    <a:picLocks noChangeAspect="1" noChangeArrowheads="1"/>
                  </pic:cNvPicPr>
                </pic:nvPicPr>
                <pic:blipFill>
                  <a:blip r:embed="rId1">
                    <a:biLevel thresh="50000"/>
                  </a:blip>
                  <a:stretch>
                    <a:fillRect/>
                  </a:stretch>
                </pic:blipFill>
                <pic:spPr bwMode="auto">
                  <a:xfrm>
                    <a:off x="0" y="0"/>
                    <a:ext cx="653415" cy="819150"/>
                  </a:xfrm>
                  <a:prstGeom prst="rect">
                    <a:avLst/>
                  </a:prstGeom>
                </pic:spPr>
              </pic:pic>
            </a:graphicData>
          </a:graphic>
        </wp:anchor>
      </w:drawing>
      <w:drawing>
        <wp:anchor behindDoc="1" distT="0" distB="0" distL="0" distR="0" simplePos="0" locked="0" layoutInCell="1" allowOverlap="1" relativeHeight="3">
          <wp:simplePos x="0" y="0"/>
          <wp:positionH relativeFrom="column">
            <wp:posOffset>5368290</wp:posOffset>
          </wp:positionH>
          <wp:positionV relativeFrom="paragraph">
            <wp:posOffset>-222885</wp:posOffset>
          </wp:positionV>
          <wp:extent cx="610235" cy="804545"/>
          <wp:effectExtent l="0" t="0" r="0" b="0"/>
          <wp:wrapNone/>
          <wp:docPr id="2" name="Imagem 1" descr="http://10.47.0.26/PM5/BRASAO%20DA%20PMPR/JPG/LOGOMARCA%20-%20PRETO%20E%20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http://10.47.0.26/PM5/BRASAO%20DA%20PMPR/JPG/LOGOMARCA%20-%20PRETO%20E%20BRANCO.jpg"/>
                  <pic:cNvPicPr>
                    <a:picLocks noChangeAspect="1" noChangeArrowheads="1"/>
                  </pic:cNvPicPr>
                </pic:nvPicPr>
                <pic:blipFill>
                  <a:blip r:embed="rId2"/>
                  <a:stretch>
                    <a:fillRect/>
                  </a:stretch>
                </pic:blipFill>
                <pic:spPr bwMode="auto">
                  <a:xfrm>
                    <a:off x="0" y="0"/>
                    <a:ext cx="610235" cy="804545"/>
                  </a:xfrm>
                  <a:prstGeom prst="rect">
                    <a:avLst/>
                  </a:prstGeom>
                </pic:spPr>
              </pic:pic>
            </a:graphicData>
          </a:graphic>
        </wp:anchor>
      </w:drawing>
    </w:r>
    <w:r>
      <w:rPr>
        <w:rFonts w:cs="Arial" w:ascii="Arial" w:hAnsi="Arial"/>
        <w:b/>
      </w:rPr>
      <w:t xml:space="preserve"> </w:t>
    </w:r>
    <w:r>
      <w:rPr>
        <w:rFonts w:cs="Arial" w:ascii="Arial" w:hAnsi="Arial"/>
        <w:b/>
      </w:rPr>
      <w:t>ESTADO DO PARANÁ</w:t>
    </w:r>
  </w:p>
  <w:p>
    <w:pPr>
      <w:pStyle w:val="Default"/>
      <w:ind w:hanging="142"/>
      <w:jc w:val="center"/>
      <w:rPr>
        <w:rFonts w:ascii="Arial" w:hAnsi="Arial" w:cs="Arial"/>
        <w:b/>
        <w:b/>
      </w:rPr>
    </w:pPr>
    <w:r>
      <w:rPr>
        <w:rFonts w:cs="Arial" w:ascii="Arial" w:hAnsi="Arial"/>
        <w:b/>
      </w:rPr>
      <w:t xml:space="preserve">POLICIA MILITAR </w:t>
    </w:r>
  </w:p>
  <w:p>
    <w:pPr>
      <w:pStyle w:val="Default"/>
      <w:ind w:hanging="142"/>
      <w:jc w:val="center"/>
      <w:rPr>
        <w:rFonts w:ascii="Arial" w:hAnsi="Arial" w:cs="Arial"/>
        <w:b/>
        <w:b/>
      </w:rPr>
    </w:pPr>
    <w:r>
      <w:rPr>
        <w:rFonts w:cs="Arial" w:ascii="Arial" w:hAnsi="Arial"/>
        <w:b/>
      </w:rPr>
    </w:r>
  </w:p>
  <w:p>
    <w:pPr>
      <w:pStyle w:val="Default"/>
      <w:ind w:hanging="142"/>
      <w:jc w:val="center"/>
      <w:rPr/>
    </w:pPr>
    <w:r>
      <w:rPr>
        <w:sz w:val="22"/>
        <w:szCs w:val="22"/>
      </w:rPr>
      <w:t>_______________________________________________________________________________________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3b71"/>
    <w:pPr>
      <w:widowControl w:val="false"/>
      <w:suppressAutoHyphens w:val="true"/>
      <w:bidi w:val="0"/>
      <w:spacing w:lineRule="auto" w:line="240" w:before="0" w:after="0"/>
      <w:jc w:val="left"/>
    </w:pPr>
    <w:rPr>
      <w:rFonts w:ascii="Times New Roman" w:hAnsi="Times New Roman" w:eastAsia="Tahoma" w:cs="Times New Roman"/>
      <w:color w:val="auto"/>
      <w:kern w:val="0"/>
      <w:sz w:val="24"/>
      <w:szCs w:val="24"/>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117310"/>
    <w:rPr>
      <w:rFonts w:ascii="Tahoma" w:hAnsi="Tahoma" w:cs="Tahoma"/>
      <w:sz w:val="16"/>
      <w:szCs w:val="16"/>
    </w:rPr>
  </w:style>
  <w:style w:type="character" w:styleId="CabealhoChar" w:customStyle="1">
    <w:name w:val="Cabeçalho Char"/>
    <w:basedOn w:val="DefaultParagraphFont"/>
    <w:link w:val="Cabealho"/>
    <w:uiPriority w:val="99"/>
    <w:qFormat/>
    <w:rsid w:val="00b03b71"/>
    <w:rPr/>
  </w:style>
  <w:style w:type="character" w:styleId="RodapChar" w:customStyle="1">
    <w:name w:val="Rodapé Char"/>
    <w:basedOn w:val="DefaultParagraphFont"/>
    <w:link w:val="Rodap"/>
    <w:uiPriority w:val="99"/>
    <w:semiHidden/>
    <w:qFormat/>
    <w:rsid w:val="00b03b71"/>
    <w:rPr/>
  </w:style>
  <w:style w:type="character" w:styleId="ListLabel1">
    <w:name w:val="ListLabel 1"/>
    <w:qFormat/>
    <w:rPr>
      <w:b/>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117310"/>
    <w:pPr>
      <w:widowControl/>
      <w:bidi w:val="0"/>
      <w:spacing w:lineRule="auto" w:line="240" w:before="0" w:after="0"/>
      <w:jc w:val="left"/>
    </w:pPr>
    <w:rPr>
      <w:rFonts w:ascii="Times New Roman" w:hAnsi="Times New Roman" w:cs="Times New Roman" w:eastAsia="Calibri"/>
      <w:color w:val="000000"/>
      <w:kern w:val="0"/>
      <w:sz w:val="24"/>
      <w:szCs w:val="24"/>
      <w:lang w:val="pt-BR" w:eastAsia="en-US" w:bidi="ar-SA"/>
    </w:rPr>
  </w:style>
  <w:style w:type="paragraph" w:styleId="BalloonText">
    <w:name w:val="Balloon Text"/>
    <w:basedOn w:val="Normal"/>
    <w:link w:val="TextodebaloChar"/>
    <w:uiPriority w:val="99"/>
    <w:semiHidden/>
    <w:unhideWhenUsed/>
    <w:qFormat/>
    <w:rsid w:val="00117310"/>
    <w:pPr/>
    <w:rPr>
      <w:rFonts w:ascii="Tahoma" w:hAnsi="Tahoma" w:cs="Tahoma"/>
      <w:sz w:val="16"/>
      <w:szCs w:val="16"/>
    </w:rPr>
  </w:style>
  <w:style w:type="paragraph" w:styleId="Cabealho">
    <w:name w:val="Header"/>
    <w:basedOn w:val="Normal"/>
    <w:link w:val="CabealhoChar"/>
    <w:uiPriority w:val="99"/>
    <w:unhideWhenUsed/>
    <w:rsid w:val="00b03b71"/>
    <w:pPr>
      <w:tabs>
        <w:tab w:val="clear" w:pos="708"/>
        <w:tab w:val="center" w:pos="4252" w:leader="none"/>
        <w:tab w:val="right" w:pos="8504" w:leader="none"/>
      </w:tabs>
    </w:pPr>
    <w:rPr/>
  </w:style>
  <w:style w:type="paragraph" w:styleId="Rodap">
    <w:name w:val="Footer"/>
    <w:basedOn w:val="Normal"/>
    <w:link w:val="RodapChar"/>
    <w:uiPriority w:val="99"/>
    <w:semiHidden/>
    <w:unhideWhenUsed/>
    <w:rsid w:val="00b03b71"/>
    <w:pPr>
      <w:tabs>
        <w:tab w:val="clear" w:pos="708"/>
        <w:tab w:val="center" w:pos="4252" w:leader="none"/>
        <w:tab w:val="right" w:pos="8504" w:leader="none"/>
      </w:tabs>
    </w:pPr>
    <w:rPr/>
  </w:style>
  <w:style w:type="paragraph" w:styleId="ListParagraph">
    <w:name w:val="List Paragraph"/>
    <w:basedOn w:val="Normal"/>
    <w:uiPriority w:val="34"/>
    <w:qFormat/>
    <w:rsid w:val="00b03b71"/>
    <w:pPr>
      <w:widowControl/>
      <w:suppressAutoHyphens w:val="false"/>
      <w:spacing w:lineRule="auto" w:line="276" w:before="0" w:after="200"/>
      <w:ind w:left="720" w:hanging="0"/>
      <w:contextualSpacing/>
    </w:pPr>
    <w:rPr>
      <w:rFonts w:ascii="Calibri" w:hAnsi="Calibri" w:eastAsia="Calibri"/>
      <w:sz w:val="22"/>
      <w:szCs w:val="22"/>
    </w:rPr>
  </w:style>
  <w:style w:type="numbering" w:styleId="NoList" w:default="1">
    <w:name w:val="No List"/>
    <w:uiPriority w:val="99"/>
    <w:semiHidden/>
    <w:unhideWhenUsed/>
    <w:qFormat/>
  </w:style>
  <w:style w:type="numbering" w:styleId="Estilo1" w:customStyle="1">
    <w:name w:val="Estilo1"/>
    <w:uiPriority w:val="99"/>
    <w:qFormat/>
    <w:rsid w:val="00b03b71"/>
  </w:style>
  <w:style w:type="numbering" w:styleId="Estilo2" w:customStyle="1">
    <w:name w:val="Estilo2"/>
    <w:uiPriority w:val="99"/>
    <w:qFormat/>
    <w:rsid w:val="00b03b71"/>
  </w:style>
  <w:style w:type="numbering" w:styleId="Estilo3" w:customStyle="1">
    <w:name w:val="Estilo3"/>
    <w:uiPriority w:val="99"/>
    <w:qFormat/>
    <w:rsid w:val="00b03b71"/>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117310"/>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59DE3-1672-43CA-B5EA-F02D25E8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LibreOffice/6.2.7.1$Windows_X86_64 LibreOffice_project/23edc44b61b830b7d749943e020e96f5a7df63bf</Application>
  <Pages>1</Pages>
  <Words>447</Words>
  <Characters>2492</Characters>
  <CharactersWithSpaces>3333</CharactersWithSpaces>
  <Paragraphs>34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2019-12-20T15:27:00Z</dcterms:created>
  <dc:creator>Ricardoj</dc:creator>
  <dc:description/>
  <dc:language>pt-BR</dc:language>
  <cp:lastModifiedBy>neomar.potuk</cp:lastModifiedBy>
  <cp:lastPrinted>2019-12-13T18:26:00Z</cp:lastPrinted>
  <dcterms:modified xsi:type="dcterms:W3CDTF">2020-01-22T11:23:00Z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