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Arial" w:hAnsi="Arial" w:cs="Arial"/>
          <w:b/>
          <w:b/>
          <w:sz w:val="22"/>
        </w:rPr>
      </w:pPr>
      <w:r>
        <w:rPr>
          <w:rFonts w:cs="Arial" w:ascii="Arial" w:hAnsi="Arial"/>
          <w:b/>
          <w:szCs w:val="28"/>
        </w:rPr>
        <w:t xml:space="preserve">Anexo </w:t>
      </w:r>
      <w:r>
        <w:rPr>
          <w:rFonts w:cs="Arial" w:ascii="Arial" w:hAnsi="Arial"/>
          <w:b/>
          <w:sz w:val="22"/>
        </w:rPr>
        <w:t>XXI</w:t>
      </w:r>
      <w:bookmarkStart w:id="0" w:name="_GoBack"/>
      <w:bookmarkEnd w:id="0"/>
      <w:r>
        <w:rPr>
          <w:rFonts w:cs="Arial" w:ascii="Arial" w:hAnsi="Arial"/>
          <w:b/>
          <w:sz w:val="22"/>
        </w:rPr>
        <w:t xml:space="preserve">V </w:t>
      </w:r>
    </w:p>
    <w:p>
      <w:pPr>
        <w:pStyle w:val="Default"/>
        <w:jc w:val="center"/>
        <w:rPr>
          <w:rFonts w:ascii="Arial" w:hAnsi="Arial" w:cs="Arial"/>
          <w:sz w:val="20"/>
          <w:szCs w:val="22"/>
        </w:rPr>
      </w:pPr>
      <w:r>
        <w:rPr>
          <w:rFonts w:cs="Arial" w:ascii="Arial" w:hAnsi="Arial"/>
          <w:sz w:val="20"/>
          <w:szCs w:val="22"/>
        </w:rPr>
        <w:t>(Portaria do Comando-Geral nº 100/2020)</w:t>
      </w:r>
    </w:p>
    <w:p>
      <w:pPr>
        <w:pStyle w:val="Default"/>
        <w:jc w:val="center"/>
        <w:rPr>
          <w:rFonts w:ascii="Arial" w:hAnsi="Arial" w:cs="Arial"/>
          <w:sz w:val="18"/>
          <w:szCs w:val="22"/>
        </w:rPr>
      </w:pPr>
      <w:r>
        <w:rPr>
          <w:rFonts w:cs="Arial" w:ascii="Arial" w:hAnsi="Arial"/>
          <w:sz w:val="18"/>
          <w:szCs w:val="22"/>
        </w:rPr>
      </w:r>
    </w:p>
    <w:p>
      <w:pPr>
        <w:pStyle w:val="Normal"/>
        <w:jc w:val="center"/>
        <w:rPr>
          <w:rFonts w:ascii="Arial" w:hAnsi="Arial" w:eastAsia="Times New Roman" w:cs="Arial"/>
          <w:b/>
          <w:b/>
          <w:bCs/>
          <w:lang w:eastAsia="ar-SA"/>
        </w:rPr>
      </w:pPr>
      <w:r>
        <w:rPr>
          <w:rFonts w:eastAsia="Times New Roman" w:cs="Arial" w:ascii="Arial" w:hAnsi="Arial"/>
          <w:b/>
          <w:bCs/>
          <w:lang w:eastAsia="ar-SA"/>
        </w:rPr>
        <w:t>NOTIFICAÇÃO EM CASO DE FALECIMENTO OU INTERDIÇÃO</w:t>
      </w:r>
    </w:p>
    <w:p>
      <w:pPr>
        <w:pStyle w:val="Normal"/>
        <w:jc w:val="center"/>
        <w:rPr>
          <w:rFonts w:ascii="Arial" w:hAnsi="Arial" w:eastAsia="Times New Roman" w:cs="Arial"/>
          <w:b/>
          <w:b/>
          <w:bCs/>
          <w:lang w:eastAsia="ar-SA"/>
        </w:rPr>
      </w:pPr>
      <w:r>
        <w:rPr>
          <w:rFonts w:eastAsia="Times New Roman" w:cs="Arial" w:ascii="Arial" w:hAnsi="Arial"/>
          <w:b/>
          <w:bCs/>
          <w:lang w:eastAsia="ar-SA"/>
        </w:rPr>
      </w:r>
    </w:p>
    <w:tbl>
      <w:tblPr>
        <w:tblW w:w="9640" w:type="dxa"/>
        <w:jc w:val="left"/>
        <w:tblInd w:w="-34" w:type="dxa"/>
        <w:tblCellMar>
          <w:top w:w="0" w:type="dxa"/>
          <w:left w:w="108" w:type="dxa"/>
          <w:bottom w:w="0" w:type="dxa"/>
          <w:right w:w="108" w:type="dxa"/>
        </w:tblCellMar>
        <w:tblLook w:val="04a0"/>
      </w:tblPr>
      <w:tblGrid>
        <w:gridCol w:w="4713"/>
        <w:gridCol w:w="1807"/>
        <w:gridCol w:w="3119"/>
      </w:tblGrid>
      <w:tr>
        <w:trPr/>
        <w:tc>
          <w:tcPr>
            <w:tcW w:w="9639"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Default"/>
              <w:tabs>
                <w:tab w:val="clear" w:pos="708"/>
                <w:tab w:val="left" w:pos="3114" w:leader="none"/>
              </w:tabs>
              <w:spacing w:lineRule="auto" w:line="360"/>
              <w:jc w:val="center"/>
              <w:rPr>
                <w:b/>
                <w:b/>
                <w:color w:val="auto"/>
              </w:rPr>
            </w:pPr>
            <w:r>
              <w:rPr>
                <w:b/>
                <w:color w:val="auto"/>
              </w:rPr>
              <w:t xml:space="preserve">RESPONSÁVEL </w:t>
            </w:r>
            <w:r>
              <w:rPr>
                <w:rFonts w:eastAsia="Times New Roman"/>
                <w:b/>
                <w:bCs/>
                <w:lang w:eastAsia="ar-SA"/>
              </w:rPr>
              <w:t>PELA ARMA DE FOGO</w:t>
            </w:r>
          </w:p>
        </w:tc>
      </w:tr>
      <w:tr>
        <w:trPr/>
        <w:tc>
          <w:tcPr>
            <w:tcW w:w="9639" w:type="dxa"/>
            <w:gridSpan w:val="3"/>
            <w:tcBorders>
              <w:top w:val="single" w:sz="4" w:space="0" w:color="000000"/>
              <w:left w:val="single" w:sz="4" w:space="0" w:color="000000"/>
              <w:bottom w:val="single" w:sz="4" w:space="0" w:color="000000"/>
              <w:right w:val="single" w:sz="4" w:space="0" w:color="000000"/>
            </w:tcBorders>
            <w:shd w:fill="auto" w:val="clear"/>
          </w:tcPr>
          <w:p>
            <w:pPr>
              <w:pStyle w:val="Default"/>
              <w:rPr>
                <w:color w:val="auto"/>
              </w:rPr>
            </w:pPr>
            <w:r>
              <w:rPr>
                <w:color w:val="auto"/>
              </w:rPr>
              <w:t>Nome:</w:t>
            </w:r>
          </w:p>
        </w:tc>
      </w:tr>
      <w:tr>
        <w:trPr/>
        <w:tc>
          <w:tcPr>
            <w:tcW w:w="4713" w:type="dxa"/>
            <w:tcBorders>
              <w:top w:val="single" w:sz="4" w:space="0" w:color="000000"/>
              <w:left w:val="single" w:sz="4" w:space="0" w:color="000000"/>
              <w:bottom w:val="single" w:sz="4" w:space="0" w:color="000000"/>
              <w:right w:val="single" w:sz="4" w:space="0" w:color="000000"/>
            </w:tcBorders>
            <w:shd w:fill="auto" w:val="clear"/>
          </w:tcPr>
          <w:p>
            <w:pPr>
              <w:pStyle w:val="Default"/>
              <w:rPr>
                <w:color w:val="auto"/>
              </w:rPr>
            </w:pPr>
            <w:r>
              <w:rPr>
                <w:color w:val="auto"/>
              </w:rPr>
              <w:t xml:space="preserve">RG: </w:t>
            </w:r>
          </w:p>
        </w:tc>
        <w:tc>
          <w:tcPr>
            <w:tcW w:w="4926"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rPr>
                <w:color w:val="auto"/>
              </w:rPr>
            </w:pPr>
            <w:r>
              <w:rPr>
                <w:color w:val="auto"/>
              </w:rPr>
              <w:t>CPF:</w:t>
            </w:r>
          </w:p>
        </w:tc>
      </w:tr>
      <w:tr>
        <w:trPr/>
        <w:tc>
          <w:tcPr>
            <w:tcW w:w="9639" w:type="dxa"/>
            <w:gridSpan w:val="3"/>
            <w:tcBorders>
              <w:top w:val="single" w:sz="4" w:space="0" w:color="000000"/>
              <w:left w:val="single" w:sz="4" w:space="0" w:color="000000"/>
              <w:bottom w:val="single" w:sz="4" w:space="0" w:color="000000"/>
              <w:right w:val="single" w:sz="4" w:space="0" w:color="000000"/>
            </w:tcBorders>
            <w:shd w:fill="auto" w:val="clear"/>
          </w:tcPr>
          <w:p>
            <w:pPr>
              <w:pStyle w:val="Default"/>
              <w:rPr>
                <w:color w:val="auto"/>
              </w:rPr>
            </w:pPr>
            <w:r>
              <w:rPr>
                <w:color w:val="auto"/>
              </w:rPr>
              <w:t>Grau de parentesco:</w:t>
            </w:r>
          </w:p>
        </w:tc>
      </w:tr>
      <w:tr>
        <w:trPr/>
        <w:tc>
          <w:tcPr>
            <w:tcW w:w="6520"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rPr>
                <w:color w:val="auto"/>
              </w:rPr>
            </w:pPr>
            <w:r>
              <w:rPr>
                <w:color w:val="auto"/>
              </w:rPr>
              <w:t>E-mail</w:t>
            </w:r>
          </w:p>
        </w:tc>
        <w:tc>
          <w:tcPr>
            <w:tcW w:w="3119" w:type="dxa"/>
            <w:tcBorders>
              <w:top w:val="single" w:sz="4" w:space="0" w:color="000000"/>
              <w:left w:val="single" w:sz="4" w:space="0" w:color="000000"/>
              <w:bottom w:val="single" w:sz="4" w:space="0" w:color="000000"/>
              <w:right w:val="single" w:sz="4" w:space="0" w:color="000000"/>
            </w:tcBorders>
            <w:shd w:fill="auto" w:val="clear"/>
          </w:tcPr>
          <w:p>
            <w:pPr>
              <w:pStyle w:val="Default"/>
              <w:rPr>
                <w:color w:val="auto"/>
              </w:rPr>
            </w:pPr>
            <w:r>
              <w:rPr>
                <w:color w:val="auto"/>
              </w:rPr>
              <w:t>Fone:</w:t>
            </w:r>
          </w:p>
        </w:tc>
      </w:tr>
    </w:tbl>
    <w:p>
      <w:pPr>
        <w:pStyle w:val="Normal"/>
        <w:jc w:val="center"/>
        <w:rPr>
          <w:rFonts w:ascii="Arial" w:hAnsi="Arial" w:eastAsia="Times New Roman" w:cs="Arial"/>
          <w:b/>
          <w:b/>
          <w:bCs/>
          <w:lang w:eastAsia="ar-SA"/>
        </w:rPr>
      </w:pPr>
      <w:r>
        <w:rPr>
          <w:rFonts w:eastAsia="Times New Roman" w:cs="Arial" w:ascii="Arial" w:hAnsi="Arial"/>
          <w:b/>
          <w:bCs/>
          <w:lang w:eastAsia="ar-SA"/>
        </w:rPr>
      </w:r>
    </w:p>
    <w:p>
      <w:pPr>
        <w:pStyle w:val="Normal"/>
        <w:spacing w:lineRule="auto" w:line="360"/>
        <w:ind w:firstLine="567"/>
        <w:jc w:val="both"/>
        <w:rPr>
          <w:rFonts w:eastAsia="Times New Roman"/>
          <w:sz w:val="20"/>
          <w:szCs w:val="20"/>
        </w:rPr>
      </w:pPr>
      <w:r>
        <w:rPr>
          <w:rFonts w:eastAsia="Times New Roman"/>
          <w:sz w:val="20"/>
          <w:szCs w:val="20"/>
        </w:rPr>
        <w:t>Aos __________ dias do mês de ____ do ano de _____, notifico V. Sª que, em face do falecimento de __________________________________________________________________________________________, CPF__________________, dar-se-á a revogação do Certificado de Registro de arma de fogo (CRAF) de propriedade do militar estadual e, que as decorrentes alterações de registro e cadastro no Sistema de Gerenciamento de Armas Particulares (SIGAP) e do Sistema de Gerenciamento de Armas ( SIGMA) e respectivas alterações serão adotadas pela administração militar estadual, tendo  V. Sª o prazo de 60 ( sessenta) dias, contados da data do falecimento do militar estadual, para valendo-se da certidão fornecida por esta unidade,  mediante alvará judicial ou autorização, ou autorização firmada por todos os herdeiros, desde que maiores e capazes, de acordo com as disposições legais, sob pena de incorrer nas sanções penais cabíveis</w:t>
      </w:r>
      <w:r>
        <w:rPr>
          <w:rFonts w:eastAsia="Times New Roman"/>
          <w:sz w:val="20"/>
          <w:szCs w:val="20"/>
          <w:vertAlign w:val="superscript"/>
        </w:rPr>
        <w:t>1</w:t>
      </w:r>
      <w:r>
        <w:rPr>
          <w:rFonts w:eastAsia="Times New Roman"/>
          <w:sz w:val="20"/>
          <w:szCs w:val="20"/>
        </w:rPr>
        <w:t>, em decorrência da falta de registro da arma, providenciar conforme o caso:</w:t>
      </w:r>
    </w:p>
    <w:p>
      <w:pPr>
        <w:pStyle w:val="Normal"/>
        <w:tabs>
          <w:tab w:val="clear" w:pos="708"/>
          <w:tab w:val="left" w:pos="1276" w:leader="none"/>
        </w:tabs>
        <w:spacing w:lineRule="auto" w:line="360" w:before="0" w:after="170"/>
        <w:ind w:firstLine="567"/>
        <w:jc w:val="both"/>
        <w:rPr>
          <w:color w:val="000000"/>
          <w:sz w:val="20"/>
          <w:szCs w:val="20"/>
        </w:rPr>
      </w:pPr>
      <w:r>
        <w:rPr>
          <w:rFonts w:eastAsia="Times New Roman"/>
          <w:sz w:val="20"/>
          <w:szCs w:val="20"/>
        </w:rPr>
        <w:t xml:space="preserve">I – </w:t>
      </w:r>
      <w:r>
        <w:rPr>
          <w:color w:val="000000"/>
          <w:sz w:val="20"/>
          <w:szCs w:val="20"/>
        </w:rPr>
        <w:t xml:space="preserve">transferência da propriedade do armamento a terceiro que preencha os requisitos exigidos por lei, </w:t>
      </w:r>
      <w:r>
        <w:rPr>
          <w:rFonts w:eastAsia="Times New Roman"/>
          <w:sz w:val="20"/>
          <w:szCs w:val="20"/>
        </w:rPr>
        <w:t>valendo-se da certidão fornecida por esta unidade</w:t>
      </w:r>
      <w:r>
        <w:rPr>
          <w:color w:val="000000"/>
          <w:sz w:val="20"/>
          <w:szCs w:val="20"/>
        </w:rPr>
        <w:t xml:space="preserve">, mediante alvará judicial ou autorização firmada por todos os herdeiros, desde que maiores e capazes; ou </w:t>
      </w:r>
    </w:p>
    <w:p>
      <w:pPr>
        <w:pStyle w:val="Normal"/>
        <w:shd w:val="clear" w:color="auto" w:fill="FFFFFF"/>
        <w:spacing w:lineRule="auto" w:line="360" w:beforeAutospacing="1" w:after="0"/>
        <w:ind w:firstLine="567"/>
        <w:jc w:val="both"/>
        <w:rPr>
          <w:rFonts w:eastAsia="Times New Roman"/>
          <w:sz w:val="20"/>
          <w:szCs w:val="20"/>
          <w:lang w:eastAsia="ar-SA"/>
        </w:rPr>
      </w:pPr>
      <w:r>
        <w:rPr>
          <w:rFonts w:eastAsia="Times New Roman"/>
          <w:sz w:val="20"/>
          <w:szCs w:val="20"/>
        </w:rPr>
        <w:t xml:space="preserve">II – </w:t>
      </w:r>
      <w:r>
        <w:rPr>
          <w:rFonts w:eastAsia="Times New Roman"/>
          <w:sz w:val="20"/>
          <w:szCs w:val="20"/>
          <w:lang w:eastAsia="ar-SA"/>
        </w:rPr>
        <w:t xml:space="preserve">a entrega de arma de fogo à Polícia Federal, consoante disposições legais e regulamentares, </w:t>
      </w:r>
      <w:r>
        <w:rPr>
          <w:sz w:val="20"/>
          <w:szCs w:val="20"/>
        </w:rPr>
        <w:t>mediante indenização, na forma prevista no artigo 31 da Lei 10.826/03,</w:t>
      </w:r>
      <w:r>
        <w:rPr>
          <w:rFonts w:eastAsia="Times New Roman"/>
          <w:sz w:val="20"/>
          <w:szCs w:val="20"/>
          <w:lang w:eastAsia="ar-SA"/>
        </w:rPr>
        <w:t xml:space="preserve"> se não for possível a adoção das medidas constantes no inciso anterior.</w:t>
      </w:r>
    </w:p>
    <w:tbl>
      <w:tblPr>
        <w:tblW w:w="9571" w:type="dxa"/>
        <w:jc w:val="left"/>
        <w:tblInd w:w="108" w:type="dxa"/>
        <w:tblCellMar>
          <w:top w:w="0" w:type="dxa"/>
          <w:left w:w="108" w:type="dxa"/>
          <w:bottom w:w="0" w:type="dxa"/>
          <w:right w:w="108" w:type="dxa"/>
        </w:tblCellMar>
        <w:tblLook w:val="04a0"/>
      </w:tblPr>
      <w:tblGrid>
        <w:gridCol w:w="4217"/>
        <w:gridCol w:w="566"/>
        <w:gridCol w:w="4679"/>
        <w:gridCol w:w="1"/>
        <w:gridCol w:w="108"/>
      </w:tblGrid>
      <w:tr>
        <w:trPr/>
        <w:tc>
          <w:tcPr>
            <w:tcW w:w="9463" w:type="dxa"/>
            <w:gridSpan w:val="4"/>
            <w:tcBorders>
              <w:top w:val="single" w:sz="4" w:space="0" w:color="000000"/>
              <w:left w:val="single" w:sz="4" w:space="0" w:color="000000"/>
              <w:bottom w:val="single" w:sz="4" w:space="0" w:color="000000"/>
              <w:right w:val="single" w:sz="4" w:space="0" w:color="000000"/>
            </w:tcBorders>
            <w:shd w:color="auto" w:fill="D9D9D9" w:val="clear"/>
          </w:tcPr>
          <w:p>
            <w:pPr>
              <w:pStyle w:val="Default"/>
              <w:ind w:firstLine="567"/>
              <w:jc w:val="center"/>
              <w:rPr>
                <w:b/>
                <w:b/>
                <w:color w:val="auto"/>
                <w:sz w:val="20"/>
                <w:szCs w:val="20"/>
              </w:rPr>
            </w:pPr>
            <w:r>
              <w:rPr>
                <w:b/>
                <w:color w:val="auto"/>
                <w:sz w:val="20"/>
                <w:szCs w:val="20"/>
              </w:rPr>
              <w:t>IDENTIFICAÇÃO DA ARMA</w:t>
            </w:r>
          </w:p>
        </w:tc>
        <w:tc>
          <w:tcPr>
            <w:tcW w:w="108" w:type="dxa"/>
            <w:tcBorders/>
            <w:shd w:fill="auto" w:val="clear"/>
          </w:tcPr>
          <w:p>
            <w:pPr>
              <w:pStyle w:val="Normal"/>
              <w:rPr/>
            </w:pPr>
            <w:r>
              <w:rPr/>
            </w:r>
          </w:p>
        </w:tc>
      </w:tr>
      <w:tr>
        <w:trPr/>
        <w:tc>
          <w:tcPr>
            <w:tcW w:w="4217" w:type="dxa"/>
            <w:tcBorders>
              <w:top w:val="single" w:sz="4" w:space="0" w:color="000000"/>
              <w:left w:val="single" w:sz="4" w:space="0" w:color="000000"/>
              <w:bottom w:val="single" w:sz="4" w:space="0" w:color="000000"/>
              <w:right w:val="single" w:sz="4" w:space="0" w:color="000000"/>
            </w:tcBorders>
            <w:shd w:fill="auto" w:val="clear"/>
          </w:tcPr>
          <w:p>
            <w:pPr>
              <w:pStyle w:val="Default"/>
              <w:spacing w:lineRule="auto" w:line="276"/>
              <w:ind w:firstLine="34"/>
              <w:jc w:val="both"/>
              <w:rPr>
                <w:color w:val="auto"/>
                <w:sz w:val="20"/>
                <w:szCs w:val="20"/>
              </w:rPr>
            </w:pPr>
            <w:r>
              <w:rPr>
                <w:color w:val="auto"/>
                <w:sz w:val="20"/>
                <w:szCs w:val="20"/>
              </w:rPr>
              <w:t xml:space="preserve">Espécie/Tipo: </w:t>
            </w:r>
          </w:p>
          <w:p>
            <w:pPr>
              <w:pStyle w:val="Default"/>
              <w:spacing w:lineRule="auto" w:line="276"/>
              <w:ind w:firstLine="34"/>
              <w:jc w:val="both"/>
              <w:rPr>
                <w:color w:val="auto"/>
                <w:sz w:val="20"/>
                <w:szCs w:val="20"/>
              </w:rPr>
            </w:pPr>
            <w:r>
              <w:rPr>
                <w:color w:val="auto"/>
                <w:sz w:val="20"/>
                <w:szCs w:val="20"/>
              </w:rPr>
              <w:t xml:space="preserve">Marca: </w:t>
            </w:r>
          </w:p>
          <w:p>
            <w:pPr>
              <w:pStyle w:val="Default"/>
              <w:spacing w:lineRule="auto" w:line="276"/>
              <w:ind w:firstLine="34"/>
              <w:jc w:val="both"/>
              <w:rPr>
                <w:color w:val="FF0000"/>
                <w:sz w:val="20"/>
                <w:szCs w:val="20"/>
              </w:rPr>
            </w:pPr>
            <w:r>
              <w:rPr>
                <w:color w:val="auto"/>
                <w:sz w:val="20"/>
                <w:szCs w:val="20"/>
              </w:rPr>
              <w:t>Calibre:</w:t>
            </w:r>
            <w:r>
              <w:rPr>
                <w:color w:val="FF0000"/>
                <w:sz w:val="20"/>
                <w:szCs w:val="20"/>
              </w:rPr>
              <w:t xml:space="preserve"> </w:t>
            </w:r>
          </w:p>
        </w:tc>
        <w:tc>
          <w:tcPr>
            <w:tcW w:w="5245"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spacing w:lineRule="auto" w:line="276"/>
              <w:ind w:firstLine="33"/>
              <w:jc w:val="both"/>
              <w:rPr>
                <w:color w:val="auto"/>
                <w:sz w:val="20"/>
                <w:szCs w:val="20"/>
              </w:rPr>
            </w:pPr>
            <w:r>
              <w:rPr>
                <w:color w:val="auto"/>
                <w:sz w:val="20"/>
                <w:szCs w:val="20"/>
              </w:rPr>
              <w:t xml:space="preserve">Modelo: </w:t>
            </w:r>
          </w:p>
          <w:p>
            <w:pPr>
              <w:pStyle w:val="Default"/>
              <w:spacing w:lineRule="auto" w:line="276"/>
              <w:ind w:firstLine="33"/>
              <w:jc w:val="both"/>
              <w:rPr>
                <w:color w:val="auto"/>
                <w:sz w:val="20"/>
                <w:szCs w:val="20"/>
              </w:rPr>
            </w:pPr>
            <w:r>
              <w:rPr>
                <w:color w:val="auto"/>
                <w:sz w:val="20"/>
                <w:szCs w:val="20"/>
              </w:rPr>
              <w:t xml:space="preserve">Número de série: </w:t>
            </w:r>
          </w:p>
          <w:p>
            <w:pPr>
              <w:pStyle w:val="Default"/>
              <w:spacing w:lineRule="auto" w:line="276"/>
              <w:ind w:firstLine="33"/>
              <w:jc w:val="both"/>
              <w:rPr>
                <w:color w:val="auto"/>
                <w:sz w:val="20"/>
                <w:szCs w:val="20"/>
              </w:rPr>
            </w:pPr>
            <w:r>
              <w:rPr>
                <w:color w:val="auto"/>
                <w:sz w:val="20"/>
                <w:szCs w:val="20"/>
              </w:rPr>
              <w:t>Nº Sigma:</w:t>
            </w:r>
          </w:p>
        </w:tc>
        <w:tc>
          <w:tcPr>
            <w:tcW w:w="109" w:type="dxa"/>
            <w:gridSpan w:val="2"/>
            <w:tcBorders/>
            <w:shd w:fill="auto" w:val="clear"/>
          </w:tcPr>
          <w:p>
            <w:pPr>
              <w:pStyle w:val="Normal"/>
              <w:rPr/>
            </w:pPr>
            <w:r>
              <w:rPr/>
            </w:r>
          </w:p>
        </w:tc>
      </w:tr>
      <w:tr>
        <w:trPr/>
        <w:tc>
          <w:tcPr>
            <w:tcW w:w="4783" w:type="dxa"/>
            <w:gridSpan w:val="2"/>
            <w:tcBorders>
              <w:top w:val="single" w:sz="4" w:space="0" w:color="000000"/>
              <w:left w:val="single" w:sz="4" w:space="0" w:color="000000"/>
              <w:bottom w:val="single" w:sz="4" w:space="0" w:color="000000"/>
              <w:right w:val="single" w:sz="4" w:space="0" w:color="000000"/>
            </w:tcBorders>
            <w:shd w:fill="auto" w:val="clear"/>
          </w:tcPr>
          <w:p>
            <w:pPr>
              <w:pStyle w:val="Corpodetexto21"/>
              <w:jc w:val="center"/>
              <w:rPr>
                <w:rFonts w:ascii="Times New Roman" w:hAnsi="Times New Roman" w:eastAsia="Times New Roman"/>
                <w:lang w:eastAsia="ar-SA"/>
              </w:rPr>
            </w:pPr>
            <w:r>
              <w:rPr>
                <w:rFonts w:eastAsia="Times New Roman" w:ascii="Times New Roman" w:hAnsi="Times New Roman"/>
                <w:lang w:eastAsia="ar-SA"/>
              </w:rPr>
            </w:r>
          </w:p>
          <w:p>
            <w:pPr>
              <w:pStyle w:val="Corpodetexto21"/>
              <w:jc w:val="center"/>
              <w:rPr>
                <w:rFonts w:ascii="Times New Roman" w:hAnsi="Times New Roman" w:eastAsia="Times New Roman"/>
                <w:lang w:eastAsia="ar-SA"/>
              </w:rPr>
            </w:pPr>
            <w:r>
              <w:rPr>
                <w:rFonts w:eastAsia="Times New Roman" w:ascii="Times New Roman" w:hAnsi="Times New Roman"/>
                <w:lang w:eastAsia="ar-SA"/>
              </w:rPr>
              <w:t>Posto/Nome/RG,</w:t>
            </w:r>
          </w:p>
          <w:p>
            <w:pPr>
              <w:pStyle w:val="Normal"/>
              <w:spacing w:lineRule="atLeast" w:line="100"/>
              <w:ind w:right="567" w:hanging="0"/>
              <w:jc w:val="center"/>
              <w:rPr>
                <w:rFonts w:eastAsia="Times New Roman"/>
                <w:sz w:val="20"/>
                <w:szCs w:val="20"/>
              </w:rPr>
            </w:pPr>
            <w:r>
              <w:rPr>
                <w:rFonts w:eastAsia="Times New Roman"/>
                <w:b/>
                <w:bCs/>
                <w:lang w:eastAsia="ar-SA"/>
              </w:rPr>
              <w:t>Chefe da 2ª Seção da Unidade</w:t>
            </w:r>
          </w:p>
        </w:tc>
        <w:tc>
          <w:tcPr>
            <w:tcW w:w="4788" w:type="dxa"/>
            <w:gridSpan w:val="3"/>
            <w:tcBorders>
              <w:top w:val="single" w:sz="4" w:space="0" w:color="000000"/>
              <w:left w:val="single" w:sz="4" w:space="0" w:color="000000"/>
              <w:bottom w:val="single" w:sz="4" w:space="0" w:color="000000"/>
              <w:right w:val="single" w:sz="4" w:space="0" w:color="000000"/>
            </w:tcBorders>
            <w:shd w:fill="auto" w:val="clear"/>
          </w:tcPr>
          <w:p>
            <w:pPr>
              <w:pStyle w:val="Corpodetexto21"/>
              <w:ind w:right="72" w:hanging="0"/>
              <w:jc w:val="center"/>
              <w:rPr>
                <w:rFonts w:ascii="Times New Roman" w:hAnsi="Times New Roman" w:eastAsia="Times New Roman"/>
                <w:lang w:eastAsia="ar-SA"/>
              </w:rPr>
            </w:pPr>
            <w:r>
              <w:rPr>
                <w:rFonts w:eastAsia="Times New Roman" w:ascii="Times New Roman" w:hAnsi="Times New Roman"/>
                <w:lang w:eastAsia="ar-SA"/>
              </w:rPr>
            </w:r>
          </w:p>
          <w:p>
            <w:pPr>
              <w:pStyle w:val="Corpodetexto21"/>
              <w:ind w:right="72" w:hanging="0"/>
              <w:jc w:val="center"/>
              <w:rPr>
                <w:rFonts w:ascii="Times New Roman" w:hAnsi="Times New Roman" w:eastAsia="Times New Roman"/>
                <w:lang w:eastAsia="ar-SA"/>
              </w:rPr>
            </w:pPr>
            <w:r>
              <w:rPr>
                <w:rFonts w:eastAsia="Times New Roman" w:ascii="Times New Roman" w:hAnsi="Times New Roman"/>
                <w:lang w:eastAsia="ar-SA"/>
              </w:rPr>
              <w:t>Nome/RG,</w:t>
            </w:r>
          </w:p>
          <w:p>
            <w:pPr>
              <w:pStyle w:val="Normal"/>
              <w:spacing w:lineRule="atLeast" w:line="100"/>
              <w:ind w:right="567" w:hanging="0"/>
              <w:jc w:val="both"/>
              <w:rPr>
                <w:rFonts w:eastAsia="Times New Roman"/>
                <w:sz w:val="20"/>
                <w:szCs w:val="20"/>
              </w:rPr>
            </w:pPr>
            <w:r>
              <w:rPr>
                <w:rFonts w:eastAsia="Times New Roman"/>
                <w:b/>
                <w:bCs/>
                <w:lang w:eastAsia="ar-SA"/>
              </w:rPr>
              <w:t xml:space="preserve">           </w:t>
            </w:r>
            <w:r>
              <w:rPr>
                <w:rFonts w:eastAsia="Times New Roman"/>
                <w:b/>
                <w:bCs/>
                <w:lang w:eastAsia="ar-SA"/>
              </w:rPr>
              <w:t>Responsável pela arma de fogo</w:t>
            </w:r>
          </w:p>
        </w:tc>
      </w:tr>
    </w:tbl>
    <w:p>
      <w:pPr>
        <w:pStyle w:val="Normal"/>
        <w:pBdr>
          <w:bottom w:val="single" w:sz="12" w:space="1" w:color="000000"/>
        </w:pBdr>
        <w:spacing w:lineRule="atLeast" w:line="100"/>
        <w:ind w:right="567" w:hanging="0"/>
        <w:jc w:val="both"/>
        <w:rPr>
          <w:rFonts w:eastAsia="Times New Roman"/>
          <w:b/>
          <w:b/>
          <w:sz w:val="20"/>
          <w:szCs w:val="20"/>
        </w:rPr>
      </w:pPr>
      <w:r>
        <w:rPr>
          <w:rFonts w:eastAsia="Times New Roman"/>
          <w:b/>
          <w:sz w:val="20"/>
          <w:szCs w:val="20"/>
        </w:rPr>
      </w:r>
    </w:p>
    <w:p>
      <w:pPr>
        <w:pStyle w:val="Normal"/>
        <w:widowControl/>
        <w:numPr>
          <w:ilvl w:val="0"/>
          <w:numId w:val="1"/>
        </w:numPr>
        <w:suppressAutoHyphens w:val="false"/>
        <w:spacing w:lineRule="auto" w:line="276"/>
        <w:ind w:left="0" w:hanging="0"/>
        <w:jc w:val="both"/>
        <w:rPr>
          <w:color w:val="000000"/>
          <w:sz w:val="16"/>
          <w:szCs w:val="27"/>
        </w:rPr>
      </w:pPr>
      <w:r>
        <w:rPr>
          <w:rFonts w:eastAsia="Times New Roman" w:cs="Arial" w:ascii="Arial" w:hAnsi="Arial"/>
          <w:b/>
          <w:bCs/>
          <w:sz w:val="16"/>
          <w:szCs w:val="16"/>
          <w:lang w:eastAsia="ar-SA"/>
        </w:rPr>
        <w:t>Lei Federal nº 10.826/2003 (Estatuto do Desarmamento)</w:t>
      </w:r>
    </w:p>
    <w:p>
      <w:pPr>
        <w:pStyle w:val="Normal"/>
        <w:jc w:val="both"/>
        <w:rPr>
          <w:color w:val="000000"/>
          <w:sz w:val="18"/>
          <w:szCs w:val="27"/>
        </w:rPr>
      </w:pPr>
      <w:r>
        <w:rPr>
          <w:rFonts w:cs="Arial" w:ascii="Arial" w:hAnsi="Arial"/>
          <w:b/>
          <w:bCs/>
          <w:color w:val="000000"/>
          <w:sz w:val="12"/>
          <w:szCs w:val="20"/>
        </w:rPr>
        <w:t>Posse irregular de arma de fogo de uso permitido</w:t>
      </w:r>
    </w:p>
    <w:p>
      <w:pPr>
        <w:pStyle w:val="NormalWeb"/>
        <w:spacing w:beforeAutospacing="0" w:before="0" w:afterAutospacing="0" w:after="0"/>
        <w:rPr>
          <w:rFonts w:ascii="Arial" w:hAnsi="Arial" w:cs="Arial"/>
          <w:color w:val="000000"/>
          <w:sz w:val="12"/>
          <w:szCs w:val="20"/>
        </w:rPr>
      </w:pPr>
      <w:r>
        <w:rPr>
          <w:rFonts w:cs="Arial" w:ascii="Arial" w:hAnsi="Arial"/>
          <w:color w:val="000000"/>
          <w:sz w:val="12"/>
          <w:szCs w:val="20"/>
        </w:rPr>
        <w:t> </w:t>
      </w:r>
      <w:bookmarkStart w:id="1" w:name="art12"/>
      <w:bookmarkEnd w:id="1"/>
      <w:r>
        <w:rPr>
          <w:rFonts w:cs="Arial" w:ascii="Arial" w:hAnsi="Arial"/>
          <w:color w:val="000000"/>
          <w:sz w:val="12"/>
          <w:szCs w:val="20"/>
        </w:rPr>
        <w:t>Art. 12. Possuir ou manter sob sua guarda arma de fogo, acessório ou munição, de uso permitido, em desacordo com determinação legal ou regulamentar, no interior de sua residência ou dependência desta, ou, ainda no seu local de trabalho, desde que seja o titular ou o responsável legal do estabelecimento ou empresa:</w:t>
      </w:r>
    </w:p>
    <w:p>
      <w:pPr>
        <w:pStyle w:val="NormalWeb"/>
        <w:spacing w:beforeAutospacing="0" w:before="0" w:afterAutospacing="0" w:after="0"/>
        <w:rPr>
          <w:color w:val="000000"/>
          <w:sz w:val="18"/>
          <w:szCs w:val="27"/>
        </w:rPr>
      </w:pPr>
      <w:r>
        <w:rPr>
          <w:rFonts w:cs="Arial" w:ascii="Arial" w:hAnsi="Arial"/>
          <w:color w:val="000000"/>
          <w:sz w:val="12"/>
          <w:szCs w:val="20"/>
        </w:rPr>
        <w:t>  </w:t>
      </w:r>
      <w:r>
        <w:rPr>
          <w:rFonts w:cs="Arial" w:ascii="Arial" w:hAnsi="Arial"/>
          <w:color w:val="000000"/>
          <w:sz w:val="12"/>
          <w:szCs w:val="20"/>
        </w:rPr>
        <w:t>Pena – detenção, de 1 (um) a 3 (três) anos, e multa.</w:t>
      </w:r>
    </w:p>
    <w:p>
      <w:pPr>
        <w:pStyle w:val="NormalWeb"/>
        <w:spacing w:beforeAutospacing="0" w:before="0" w:afterAutospacing="0" w:after="0"/>
        <w:rPr>
          <w:color w:val="000000"/>
          <w:sz w:val="18"/>
          <w:szCs w:val="27"/>
        </w:rPr>
      </w:pPr>
      <w:r>
        <w:rPr>
          <w:rFonts w:cs="Arial" w:ascii="Arial" w:hAnsi="Arial"/>
          <w:b/>
          <w:bCs/>
          <w:color w:val="000000"/>
          <w:sz w:val="12"/>
          <w:szCs w:val="20"/>
        </w:rPr>
        <w:t>Omissão de cautela</w:t>
      </w:r>
    </w:p>
    <w:p>
      <w:pPr>
        <w:pStyle w:val="NormalWeb"/>
        <w:spacing w:beforeAutospacing="0" w:before="0" w:afterAutospacing="0" w:after="0"/>
        <w:rPr>
          <w:color w:val="000000"/>
          <w:sz w:val="18"/>
          <w:szCs w:val="27"/>
        </w:rPr>
      </w:pPr>
      <w:r>
        <w:rPr>
          <w:rFonts w:cs="Arial" w:ascii="Arial" w:hAnsi="Arial"/>
          <w:color w:val="000000"/>
          <w:sz w:val="12"/>
          <w:szCs w:val="20"/>
        </w:rPr>
        <w:t> </w:t>
      </w:r>
      <w:bookmarkStart w:id="2" w:name="art13"/>
      <w:bookmarkEnd w:id="2"/>
      <w:r>
        <w:rPr>
          <w:rFonts w:cs="Arial" w:ascii="Arial" w:hAnsi="Arial"/>
          <w:color w:val="000000"/>
          <w:sz w:val="12"/>
          <w:szCs w:val="20"/>
        </w:rPr>
        <w:t>Art. 13. Deixar de observar as cautelas necessárias para impedir que menor de 18 (dezoito) anos ou pessoa portadora de deficiência mental se apodere de arma de fogo que esteja sob sua posse ou que seja de sua propriedade:</w:t>
      </w:r>
    </w:p>
    <w:p>
      <w:pPr>
        <w:pStyle w:val="NormalWeb"/>
        <w:spacing w:beforeAutospacing="0" w:before="0" w:afterAutospacing="0" w:after="0"/>
        <w:rPr>
          <w:color w:val="000000"/>
          <w:sz w:val="18"/>
          <w:szCs w:val="27"/>
        </w:rPr>
      </w:pPr>
      <w:r>
        <w:rPr>
          <w:rFonts w:cs="Arial" w:ascii="Arial" w:hAnsi="Arial"/>
          <w:color w:val="000000"/>
          <w:sz w:val="12"/>
          <w:szCs w:val="20"/>
        </w:rPr>
        <w:t> </w:t>
      </w:r>
      <w:r>
        <w:rPr>
          <w:rFonts w:cs="Arial" w:ascii="Arial" w:hAnsi="Arial"/>
          <w:color w:val="000000"/>
          <w:sz w:val="12"/>
          <w:szCs w:val="20"/>
        </w:rPr>
        <w:t>Pena – detenção, de 1 (um) a 2 (dois) anos, e multa.</w:t>
      </w:r>
    </w:p>
    <w:p>
      <w:pPr>
        <w:pStyle w:val="NormalWeb"/>
        <w:spacing w:beforeAutospacing="0" w:before="0" w:afterAutospacing="0" w:after="0"/>
        <w:rPr>
          <w:color w:val="000000"/>
          <w:sz w:val="18"/>
          <w:szCs w:val="27"/>
        </w:rPr>
      </w:pPr>
      <w:r>
        <w:rPr>
          <w:rFonts w:cs="Arial" w:ascii="Arial" w:hAnsi="Arial"/>
          <w:color w:val="000000"/>
          <w:sz w:val="12"/>
          <w:szCs w:val="20"/>
        </w:rPr>
        <w:t> </w:t>
      </w:r>
      <w:bookmarkStart w:id="3" w:name="art13p"/>
      <w:bookmarkEnd w:id="3"/>
      <w:r>
        <w:rPr>
          <w:rFonts w:cs="Arial" w:ascii="Arial" w:hAnsi="Arial"/>
          <w:color w:val="000000"/>
          <w:sz w:val="12"/>
          <w:szCs w:val="20"/>
        </w:rPr>
        <w:t>Parágrafo único. Nas mesmas penas incorrem o proprietário ou diretor responsável de empresa de segurança e transporte de valores que deixarem de registrar ocorrência policial e de comunicar à Polícia Federal perda, furto, roubo ou outras formas de extravio de arma de fogo, acessório ou munição que estejam sob sua guarda, nas primeiras 24 (vinte quatro) horas depois de ocorrido o fato.</w:t>
      </w:r>
    </w:p>
    <w:p>
      <w:pPr>
        <w:pStyle w:val="Normal"/>
        <w:jc w:val="both"/>
        <w:rPr>
          <w:rFonts w:ascii="Arial" w:hAnsi="Arial" w:eastAsia="Times New Roman" w:cs="Arial"/>
          <w:b/>
          <w:b/>
          <w:bCs/>
          <w:sz w:val="16"/>
          <w:szCs w:val="16"/>
          <w:lang w:eastAsia="ar-SA"/>
        </w:rPr>
      </w:pPr>
      <w:r>
        <w:rPr>
          <w:rFonts w:eastAsia="Times New Roman" w:cs="Arial" w:ascii="Arial" w:hAnsi="Arial"/>
          <w:b/>
          <w:bCs/>
          <w:sz w:val="16"/>
          <w:szCs w:val="16"/>
          <w:lang w:eastAsia="ar-SA"/>
        </w:rPr>
        <w:t>Decreto Federal nº 9.847/19</w:t>
      </w:r>
    </w:p>
    <w:p>
      <w:pPr>
        <w:pStyle w:val="Normal"/>
        <w:jc w:val="both"/>
        <w:rPr>
          <w:rFonts w:ascii="Arial" w:hAnsi="Arial" w:cs="Arial"/>
          <w:color w:val="000000"/>
          <w:sz w:val="14"/>
        </w:rPr>
      </w:pPr>
      <w:r>
        <w:rPr>
          <w:rFonts w:cs="Arial" w:ascii="Arial" w:hAnsi="Arial"/>
          <w:color w:val="000000"/>
          <w:sz w:val="12"/>
          <w:szCs w:val="20"/>
          <w:lang w:val="pt-PT"/>
        </w:rPr>
        <w:t>Art. 47.  Na hipótese de falecimento ou interdição do proprietário de arma de fogo, o administrador da herança ou o curador, conforme o caso, providenciará a transfer</w:t>
      </w:r>
      <w:r>
        <w:rPr>
          <w:rFonts w:cs="Arial" w:ascii="Arial" w:hAnsi="Arial"/>
          <w:color w:val="000000"/>
          <w:sz w:val="12"/>
          <w:szCs w:val="20"/>
          <w:lang w:val="fr-FR"/>
        </w:rPr>
        <w:t>ê</w:t>
      </w:r>
      <w:r>
        <w:rPr>
          <w:rFonts w:cs="Arial" w:ascii="Arial" w:hAnsi="Arial"/>
          <w:color w:val="000000"/>
          <w:sz w:val="12"/>
          <w:szCs w:val="20"/>
          <w:lang w:val="pt-PT"/>
        </w:rPr>
        <w:t>ncia da propriedade da arma, por meio de alvará judicial ou de autorização firmada por todos os herdeiros, desde que sejam maiores de idade e capazes, observado o disposto no art. 12.</w:t>
      </w:r>
    </w:p>
    <w:p>
      <w:pPr>
        <w:pStyle w:val="Padro"/>
        <w:spacing w:beforeAutospacing="0" w:before="0" w:afterAutospacing="0" w:after="0"/>
        <w:jc w:val="both"/>
        <w:rPr>
          <w:rFonts w:ascii="Arial" w:hAnsi="Arial" w:cs="Arial"/>
          <w:color w:val="000000"/>
          <w:sz w:val="16"/>
        </w:rPr>
      </w:pPr>
      <w:r>
        <w:rPr>
          <w:rFonts w:cs="Arial" w:ascii="Arial" w:hAnsi="Arial"/>
          <w:color w:val="000000"/>
          <w:sz w:val="12"/>
          <w:szCs w:val="20"/>
          <w:lang w:val="pt-PT"/>
        </w:rPr>
        <w:t>§ 1º  O administrador da herança ou o curador comunicará à Polícia Federal ou ao Comando do Ex</w:t>
      </w:r>
      <w:r>
        <w:rPr>
          <w:rFonts w:cs="Arial" w:ascii="Arial" w:hAnsi="Arial"/>
          <w:color w:val="000000"/>
          <w:sz w:val="12"/>
          <w:szCs w:val="20"/>
          <w:lang w:val="fr-FR"/>
        </w:rPr>
        <w:t>é</w:t>
      </w:r>
      <w:r>
        <w:rPr>
          <w:rFonts w:cs="Arial" w:ascii="Arial" w:hAnsi="Arial"/>
          <w:color w:val="000000"/>
          <w:sz w:val="12"/>
          <w:szCs w:val="20"/>
          <w:lang w:val="pt-PT"/>
        </w:rPr>
        <w:t>rcito, conforme o caso, a morte ou a interdição do proprietário da arma de fogo.</w:t>
      </w:r>
    </w:p>
    <w:p>
      <w:pPr>
        <w:pStyle w:val="Padro"/>
        <w:spacing w:beforeAutospacing="0" w:before="0" w:afterAutospacing="0" w:after="0"/>
        <w:jc w:val="both"/>
        <w:rPr>
          <w:rFonts w:ascii="Arial" w:hAnsi="Arial" w:cs="Arial"/>
          <w:color w:val="000000"/>
          <w:sz w:val="16"/>
        </w:rPr>
      </w:pPr>
      <w:r>
        <w:rPr>
          <w:rFonts w:cs="Arial" w:ascii="Arial" w:hAnsi="Arial"/>
          <w:color w:val="000000"/>
          <w:sz w:val="12"/>
          <w:szCs w:val="20"/>
          <w:lang w:val="pt-PT"/>
        </w:rPr>
        <w:t>§ 2º  Na hipótese de que trata o </w:t>
      </w:r>
      <w:r>
        <w:rPr>
          <w:rFonts w:cs="Arial" w:ascii="Arial" w:hAnsi="Arial"/>
          <w:b/>
          <w:bCs/>
          <w:color w:val="000000"/>
          <w:sz w:val="12"/>
          <w:szCs w:val="20"/>
          <w:lang w:val="pt-PT"/>
        </w:rPr>
        <w:t>caput</w:t>
      </w:r>
      <w:r>
        <w:rPr>
          <w:rFonts w:cs="Arial" w:ascii="Arial" w:hAnsi="Arial"/>
          <w:color w:val="000000"/>
          <w:sz w:val="12"/>
          <w:szCs w:val="20"/>
          <w:lang w:val="pt-PT"/>
        </w:rPr>
        <w:t>, a arma de fogo permanecerá sob a guarda e a responsabilidade do administrador da herança ou do curador, depositada em local seguro, at</w:t>
      </w:r>
      <w:r>
        <w:rPr>
          <w:rFonts w:cs="Arial" w:ascii="Arial" w:hAnsi="Arial"/>
          <w:color w:val="000000"/>
          <w:sz w:val="12"/>
          <w:szCs w:val="20"/>
          <w:lang w:val="fr-FR"/>
        </w:rPr>
        <w:t>é </w:t>
      </w:r>
      <w:r>
        <w:rPr>
          <w:rFonts w:cs="Arial" w:ascii="Arial" w:hAnsi="Arial"/>
          <w:color w:val="000000"/>
          <w:sz w:val="12"/>
          <w:szCs w:val="20"/>
          <w:lang w:val="pt-PT"/>
        </w:rPr>
        <w:t>a expedição do Certificado de Registro de Arma de Fogo e a entrega ao novo proprietá</w:t>
      </w:r>
      <w:r>
        <w:rPr>
          <w:rFonts w:cs="Arial" w:ascii="Arial" w:hAnsi="Arial"/>
          <w:color w:val="000000"/>
          <w:sz w:val="12"/>
          <w:szCs w:val="20"/>
          <w:lang w:val="it-IT"/>
        </w:rPr>
        <w:t>rio.</w:t>
      </w:r>
    </w:p>
    <w:p>
      <w:pPr>
        <w:pStyle w:val="Padro"/>
        <w:spacing w:beforeAutospacing="0" w:before="0" w:afterAutospacing="0" w:after="0"/>
        <w:jc w:val="both"/>
        <w:rPr>
          <w:rFonts w:ascii="Arial" w:hAnsi="Arial" w:cs="Arial"/>
          <w:color w:val="000000"/>
          <w:sz w:val="16"/>
        </w:rPr>
      </w:pPr>
      <w:r>
        <w:rPr>
          <w:rFonts w:cs="Arial" w:ascii="Arial" w:hAnsi="Arial"/>
          <w:color w:val="000000"/>
          <w:sz w:val="12"/>
          <w:szCs w:val="20"/>
          <w:lang w:val="pt-PT"/>
        </w:rPr>
        <w:t>§ 3º  A inobservância ao disposto no § 2º implicará a apreensão da arma de fogo pela autoridade competente, sem prejuízo das sanções penais cabíveis.</w:t>
      </w:r>
    </w:p>
    <w:p>
      <w:pPr>
        <w:pStyle w:val="Default"/>
        <w:jc w:val="center"/>
        <w:rPr/>
      </w:pPr>
      <w:r>
        <w:rPr/>
      </w:r>
    </w:p>
    <w:sectPr>
      <w:headerReference w:type="default" r:id="rId2"/>
      <w:type w:val="nextPage"/>
      <w:pgSz w:w="11906" w:h="16838"/>
      <w:pgMar w:left="1276" w:right="1133" w:header="708" w:top="765"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aramond">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
      <w:jc w:val="center"/>
      <w:rPr>
        <w:rFonts w:ascii="Arial" w:hAnsi="Arial" w:cs="Arial"/>
        <w:b/>
        <w:b/>
      </w:rPr>
    </w:pPr>
    <w:r>
      <w:drawing>
        <wp:anchor behindDoc="1" distT="0" distB="0" distL="0" distR="0" simplePos="0" locked="0" layoutInCell="1" allowOverlap="1" relativeHeight="2">
          <wp:simplePos x="0" y="0"/>
          <wp:positionH relativeFrom="column">
            <wp:posOffset>-111125</wp:posOffset>
          </wp:positionH>
          <wp:positionV relativeFrom="paragraph">
            <wp:posOffset>-179070</wp:posOffset>
          </wp:positionV>
          <wp:extent cx="653415" cy="819150"/>
          <wp:effectExtent l="0" t="0" r="0" b="0"/>
          <wp:wrapNone/>
          <wp:docPr id="1" name="Figura1" descr="Resultado de imagem para brasao paran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Resultado de imagem para brasao parana&quot;"/>
                  <pic:cNvPicPr>
                    <a:picLocks noChangeAspect="1" noChangeArrowheads="1"/>
                  </pic:cNvPicPr>
                </pic:nvPicPr>
                <pic:blipFill>
                  <a:blip r:embed="rId1">
                    <a:biLevel thresh="50000"/>
                  </a:blip>
                  <a:stretch>
                    <a:fillRect/>
                  </a:stretch>
                </pic:blipFill>
                <pic:spPr bwMode="auto">
                  <a:xfrm>
                    <a:off x="0" y="0"/>
                    <a:ext cx="653415" cy="819150"/>
                  </a:xfrm>
                  <a:prstGeom prst="rect">
                    <a:avLst/>
                  </a:prstGeom>
                </pic:spPr>
              </pic:pic>
            </a:graphicData>
          </a:graphic>
        </wp:anchor>
      </w:drawing>
      <w:drawing>
        <wp:anchor behindDoc="1" distT="0" distB="0" distL="0" distR="0" simplePos="0" locked="0" layoutInCell="1" allowOverlap="1" relativeHeight="3">
          <wp:simplePos x="0" y="0"/>
          <wp:positionH relativeFrom="column">
            <wp:posOffset>5368290</wp:posOffset>
          </wp:positionH>
          <wp:positionV relativeFrom="paragraph">
            <wp:posOffset>-222885</wp:posOffset>
          </wp:positionV>
          <wp:extent cx="610235" cy="804545"/>
          <wp:effectExtent l="0" t="0" r="0" b="0"/>
          <wp:wrapNone/>
          <wp:docPr id="2" name="Imagem 1" descr="http://10.47.0.26/PM5/BRASAO%20DA%20PMPR/JPG/LOGOMARCA%20-%20PRETO%20E%20B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http://10.47.0.26/PM5/BRASAO%20DA%20PMPR/JPG/LOGOMARCA%20-%20PRETO%20E%20BRANCO.jpg"/>
                  <pic:cNvPicPr>
                    <a:picLocks noChangeAspect="1" noChangeArrowheads="1"/>
                  </pic:cNvPicPr>
                </pic:nvPicPr>
                <pic:blipFill>
                  <a:blip r:embed="rId2"/>
                  <a:stretch>
                    <a:fillRect/>
                  </a:stretch>
                </pic:blipFill>
                <pic:spPr bwMode="auto">
                  <a:xfrm>
                    <a:off x="0" y="0"/>
                    <a:ext cx="610235" cy="804545"/>
                  </a:xfrm>
                  <a:prstGeom prst="rect">
                    <a:avLst/>
                  </a:prstGeom>
                </pic:spPr>
              </pic:pic>
            </a:graphicData>
          </a:graphic>
        </wp:anchor>
      </w:drawing>
    </w:r>
    <w:r>
      <w:rPr>
        <w:rFonts w:cs="Arial" w:ascii="Arial" w:hAnsi="Arial"/>
        <w:b/>
      </w:rPr>
      <w:t xml:space="preserve"> </w:t>
    </w:r>
    <w:r>
      <w:rPr>
        <w:rFonts w:cs="Arial" w:ascii="Arial" w:hAnsi="Arial"/>
        <w:b/>
      </w:rPr>
      <w:t>ESTADO DO PARANÁ</w:t>
    </w:r>
  </w:p>
  <w:p>
    <w:pPr>
      <w:pStyle w:val="Default"/>
      <w:ind w:hanging="142"/>
      <w:jc w:val="center"/>
      <w:rPr>
        <w:rFonts w:ascii="Arial" w:hAnsi="Arial" w:cs="Arial"/>
        <w:b/>
        <w:b/>
      </w:rPr>
    </w:pPr>
    <w:r>
      <w:rPr>
        <w:rFonts w:cs="Arial" w:ascii="Arial" w:hAnsi="Arial"/>
        <w:b/>
      </w:rPr>
      <w:t xml:space="preserve">POLICIA MILITAR </w:t>
    </w:r>
  </w:p>
  <w:p>
    <w:pPr>
      <w:pStyle w:val="Default"/>
      <w:ind w:hanging="142"/>
      <w:jc w:val="center"/>
      <w:rPr>
        <w:rFonts w:ascii="Arial" w:hAnsi="Arial" w:cs="Arial"/>
        <w:b/>
        <w:b/>
      </w:rPr>
    </w:pPr>
    <w:r>
      <w:rPr>
        <w:rFonts w:cs="Arial" w:ascii="Arial" w:hAnsi="Arial"/>
        <w:b/>
      </w:rPr>
    </w:r>
  </w:p>
  <w:p>
    <w:pPr>
      <w:pStyle w:val="Default"/>
      <w:ind w:hanging="142"/>
      <w:jc w:val="center"/>
      <w:rPr/>
    </w:pPr>
    <w:r>
      <w:rPr>
        <w:sz w:val="22"/>
        <w:szCs w:val="22"/>
      </w:rPr>
      <w:t>_______________________________________________________________________________________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114" w:hanging="360"/>
      </w:pPr>
      <w:rPr>
        <w:sz w:val="16"/>
        <w:b/>
        <w:rFonts w:eastAsia="Times New Roman" w:cs="Arial"/>
        <w:color w:val="auto"/>
      </w:rPr>
    </w:lvl>
    <w:lvl w:ilvl="1">
      <w:start w:val="1"/>
      <w:numFmt w:val="lowerLetter"/>
      <w:lvlText w:val="%2."/>
      <w:lvlJc w:val="left"/>
      <w:pPr>
        <w:ind w:left="1834" w:hanging="360"/>
      </w:pPr>
    </w:lvl>
    <w:lvl w:ilvl="2">
      <w:start w:val="1"/>
      <w:numFmt w:val="lowerRoman"/>
      <w:lvlText w:val="%3."/>
      <w:lvlJc w:val="right"/>
      <w:pPr>
        <w:ind w:left="2554" w:hanging="180"/>
      </w:pPr>
    </w:lvl>
    <w:lvl w:ilvl="3">
      <w:start w:val="1"/>
      <w:numFmt w:val="decimal"/>
      <w:lvlText w:val="%4."/>
      <w:lvlJc w:val="left"/>
      <w:pPr>
        <w:ind w:left="3274" w:hanging="360"/>
      </w:pPr>
    </w:lvl>
    <w:lvl w:ilvl="4">
      <w:start w:val="1"/>
      <w:numFmt w:val="lowerLetter"/>
      <w:lvlText w:val="%5."/>
      <w:lvlJc w:val="left"/>
      <w:pPr>
        <w:ind w:left="3994" w:hanging="360"/>
      </w:pPr>
    </w:lvl>
    <w:lvl w:ilvl="5">
      <w:start w:val="1"/>
      <w:numFmt w:val="lowerRoman"/>
      <w:lvlText w:val="%6."/>
      <w:lvlJc w:val="right"/>
      <w:pPr>
        <w:ind w:left="4714" w:hanging="180"/>
      </w:pPr>
    </w:lvl>
    <w:lvl w:ilvl="6">
      <w:start w:val="1"/>
      <w:numFmt w:val="decimal"/>
      <w:lvlText w:val="%7."/>
      <w:lvlJc w:val="left"/>
      <w:pPr>
        <w:ind w:left="5434" w:hanging="360"/>
      </w:pPr>
    </w:lvl>
    <w:lvl w:ilvl="7">
      <w:start w:val="1"/>
      <w:numFmt w:val="lowerLetter"/>
      <w:lvlText w:val="%8."/>
      <w:lvlJc w:val="left"/>
      <w:pPr>
        <w:ind w:left="6154" w:hanging="360"/>
      </w:pPr>
    </w:lvl>
    <w:lvl w:ilvl="8">
      <w:start w:val="1"/>
      <w:numFmt w:val="lowerRoman"/>
      <w:lvlText w:val="%9."/>
      <w:lvlJc w:val="right"/>
      <w:pPr>
        <w:ind w:left="6874"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3b71"/>
    <w:pPr>
      <w:widowControl w:val="false"/>
      <w:suppressAutoHyphens w:val="true"/>
      <w:bidi w:val="0"/>
      <w:spacing w:lineRule="auto" w:line="240" w:before="0" w:after="0"/>
      <w:jc w:val="left"/>
    </w:pPr>
    <w:rPr>
      <w:rFonts w:ascii="Times New Roman" w:hAnsi="Times New Roman" w:eastAsia="Tahoma" w:cs="Times New Roman"/>
      <w:color w:val="auto"/>
      <w:kern w:val="0"/>
      <w:sz w:val="24"/>
      <w:szCs w:val="24"/>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117310"/>
    <w:rPr>
      <w:rFonts w:ascii="Tahoma" w:hAnsi="Tahoma" w:cs="Tahoma"/>
      <w:sz w:val="16"/>
      <w:szCs w:val="16"/>
    </w:rPr>
  </w:style>
  <w:style w:type="character" w:styleId="CabealhoChar" w:customStyle="1">
    <w:name w:val="Cabeçalho Char"/>
    <w:basedOn w:val="DefaultParagraphFont"/>
    <w:link w:val="Cabealho"/>
    <w:uiPriority w:val="99"/>
    <w:qFormat/>
    <w:rsid w:val="00b03b71"/>
    <w:rPr/>
  </w:style>
  <w:style w:type="character" w:styleId="RodapChar" w:customStyle="1">
    <w:name w:val="Rodapé Char"/>
    <w:basedOn w:val="DefaultParagraphFont"/>
    <w:link w:val="Rodap"/>
    <w:uiPriority w:val="99"/>
    <w:semiHidden/>
    <w:qFormat/>
    <w:rsid w:val="00b03b71"/>
    <w:rPr/>
  </w:style>
  <w:style w:type="character" w:styleId="ListLabel1">
    <w:name w:val="ListLabel 1"/>
    <w:qFormat/>
    <w:rPr>
      <w:b/>
    </w:rPr>
  </w:style>
  <w:style w:type="character" w:styleId="ListLabel2">
    <w:name w:val="ListLabel 2"/>
    <w:qFormat/>
    <w:rPr>
      <w:b/>
    </w:rPr>
  </w:style>
  <w:style w:type="character" w:styleId="ListLabel3">
    <w:name w:val="ListLabel 3"/>
    <w:qFormat/>
    <w:rPr>
      <w:rFonts w:eastAsia="Times New Roman" w:cs="Arial"/>
      <w:b/>
      <w:color w:val="auto"/>
      <w:sz w:val="16"/>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Default" w:customStyle="1">
    <w:name w:val="Default"/>
    <w:qFormat/>
    <w:rsid w:val="00117310"/>
    <w:pPr>
      <w:widowControl/>
      <w:bidi w:val="0"/>
      <w:spacing w:lineRule="auto" w:line="240" w:before="0" w:after="0"/>
      <w:jc w:val="left"/>
    </w:pPr>
    <w:rPr>
      <w:rFonts w:ascii="Times New Roman" w:hAnsi="Times New Roman" w:cs="Times New Roman" w:eastAsia="Calibri"/>
      <w:color w:val="000000"/>
      <w:kern w:val="0"/>
      <w:sz w:val="24"/>
      <w:szCs w:val="24"/>
      <w:lang w:val="pt-BR" w:eastAsia="en-US" w:bidi="ar-SA"/>
    </w:rPr>
  </w:style>
  <w:style w:type="paragraph" w:styleId="BalloonText">
    <w:name w:val="Balloon Text"/>
    <w:basedOn w:val="Normal"/>
    <w:link w:val="TextodebaloChar"/>
    <w:uiPriority w:val="99"/>
    <w:semiHidden/>
    <w:unhideWhenUsed/>
    <w:qFormat/>
    <w:rsid w:val="00117310"/>
    <w:pPr/>
    <w:rPr>
      <w:rFonts w:ascii="Tahoma" w:hAnsi="Tahoma" w:cs="Tahoma"/>
      <w:sz w:val="16"/>
      <w:szCs w:val="16"/>
    </w:rPr>
  </w:style>
  <w:style w:type="paragraph" w:styleId="Cabealho">
    <w:name w:val="Header"/>
    <w:basedOn w:val="Normal"/>
    <w:link w:val="CabealhoChar"/>
    <w:uiPriority w:val="99"/>
    <w:unhideWhenUsed/>
    <w:rsid w:val="00b03b71"/>
    <w:pPr>
      <w:tabs>
        <w:tab w:val="clear" w:pos="708"/>
        <w:tab w:val="center" w:pos="4252" w:leader="none"/>
        <w:tab w:val="right" w:pos="8504" w:leader="none"/>
      </w:tabs>
    </w:pPr>
    <w:rPr/>
  </w:style>
  <w:style w:type="paragraph" w:styleId="Rodap">
    <w:name w:val="Footer"/>
    <w:basedOn w:val="Normal"/>
    <w:link w:val="RodapChar"/>
    <w:uiPriority w:val="99"/>
    <w:semiHidden/>
    <w:unhideWhenUsed/>
    <w:rsid w:val="00b03b71"/>
    <w:pPr>
      <w:tabs>
        <w:tab w:val="clear" w:pos="708"/>
        <w:tab w:val="center" w:pos="4252" w:leader="none"/>
        <w:tab w:val="right" w:pos="8504" w:leader="none"/>
      </w:tabs>
    </w:pPr>
    <w:rPr/>
  </w:style>
  <w:style w:type="paragraph" w:styleId="ListParagraph">
    <w:name w:val="List Paragraph"/>
    <w:basedOn w:val="Normal"/>
    <w:uiPriority w:val="1"/>
    <w:qFormat/>
    <w:rsid w:val="00b03b71"/>
    <w:pPr>
      <w:widowControl/>
      <w:suppressAutoHyphens w:val="false"/>
      <w:spacing w:lineRule="auto" w:line="276" w:before="0" w:after="200"/>
      <w:ind w:left="720" w:hanging="0"/>
      <w:contextualSpacing/>
    </w:pPr>
    <w:rPr>
      <w:rFonts w:ascii="Calibri" w:hAnsi="Calibri" w:eastAsia="Calibri"/>
      <w:sz w:val="22"/>
      <w:szCs w:val="22"/>
    </w:rPr>
  </w:style>
  <w:style w:type="paragraph" w:styleId="Corpodetexto21" w:customStyle="1">
    <w:name w:val="Corpo de texto 21"/>
    <w:basedOn w:val="Normal"/>
    <w:qFormat/>
    <w:rsid w:val="00fd0411"/>
    <w:pPr/>
    <w:rPr>
      <w:rFonts w:ascii="Garamond" w:hAnsi="Garamond"/>
    </w:rPr>
  </w:style>
  <w:style w:type="paragraph" w:styleId="NormalWeb">
    <w:name w:val="Normal (Web)"/>
    <w:basedOn w:val="Normal"/>
    <w:uiPriority w:val="99"/>
    <w:semiHidden/>
    <w:unhideWhenUsed/>
    <w:qFormat/>
    <w:rsid w:val="00fd0411"/>
    <w:pPr>
      <w:widowControl/>
      <w:suppressAutoHyphens w:val="false"/>
      <w:spacing w:beforeAutospacing="1" w:afterAutospacing="1"/>
    </w:pPr>
    <w:rPr>
      <w:rFonts w:eastAsia="Times New Roman"/>
      <w:lang w:eastAsia="pt-BR"/>
    </w:rPr>
  </w:style>
  <w:style w:type="paragraph" w:styleId="Padro" w:customStyle="1">
    <w:name w:val="padro"/>
    <w:basedOn w:val="Normal"/>
    <w:qFormat/>
    <w:rsid w:val="00fd0411"/>
    <w:pPr>
      <w:widowControl/>
      <w:suppressAutoHyphens w:val="false"/>
      <w:spacing w:beforeAutospacing="1" w:afterAutospacing="1"/>
    </w:pPr>
    <w:rPr>
      <w:rFonts w:eastAsia="Times New Roman"/>
      <w:lang w:eastAsia="pt-BR"/>
    </w:rPr>
  </w:style>
  <w:style w:type="numbering" w:styleId="NoList" w:default="1">
    <w:name w:val="No List"/>
    <w:uiPriority w:val="99"/>
    <w:semiHidden/>
    <w:unhideWhenUsed/>
    <w:qFormat/>
  </w:style>
  <w:style w:type="numbering" w:styleId="Estilo1" w:customStyle="1">
    <w:name w:val="Estilo1"/>
    <w:uiPriority w:val="99"/>
    <w:qFormat/>
    <w:rsid w:val="00b03b71"/>
  </w:style>
  <w:style w:type="numbering" w:styleId="Estilo2" w:customStyle="1">
    <w:name w:val="Estilo2"/>
    <w:uiPriority w:val="99"/>
    <w:qFormat/>
    <w:rsid w:val="00b03b71"/>
  </w:style>
  <w:style w:type="numbering" w:styleId="Estilo3" w:customStyle="1">
    <w:name w:val="Estilo3"/>
    <w:uiPriority w:val="99"/>
    <w:qFormat/>
    <w:rsid w:val="00b03b71"/>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uiPriority w:val="59"/>
    <w:rsid w:val="00117310"/>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49C77-4255-49F5-AC37-323FD54C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LibreOffice/6.2.7.1$Windows_X86_64 LibreOffice_project/23edc44b61b830b7d749943e020e96f5a7df63bf</Application>
  <Pages>1</Pages>
  <Words>639</Words>
  <Characters>3437</Characters>
  <CharactersWithSpaces>4072</CharactersWithSpaces>
  <Paragraphs>40</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2019-12-20T14:07:00Z</dcterms:created>
  <dc:creator>Ricardoj</dc:creator>
  <dc:description/>
  <dc:language>pt-BR</dc:language>
  <cp:lastModifiedBy>neomar.potuk</cp:lastModifiedBy>
  <cp:lastPrinted>2019-12-13T18:26:00Z</cp:lastPrinted>
  <dcterms:modified xsi:type="dcterms:W3CDTF">2020-01-22T11:43:00Z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